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3E7E7">
      <w:pPr>
        <w:jc w:val="center"/>
        <w:rPr>
          <w:b/>
          <w:sz w:val="32"/>
        </w:rPr>
      </w:pPr>
      <w:r>
        <w:rPr>
          <w:rFonts w:hint="eastAsia"/>
          <w:b/>
          <w:sz w:val="32"/>
        </w:rPr>
        <w:t>天津医科大学眼科医院关于召开</w:t>
      </w:r>
    </w:p>
    <w:p w14:paraId="3994677A">
      <w:pPr>
        <w:jc w:val="center"/>
        <w:rPr>
          <w:b/>
          <w:sz w:val="32"/>
        </w:rPr>
      </w:pPr>
      <w:r>
        <w:rPr>
          <w:rFonts w:hint="eastAsia"/>
          <w:b/>
          <w:sz w:val="32"/>
        </w:rPr>
        <w:t>院感公卫信息化管理系统建设调研询价论证会的通知</w:t>
      </w:r>
    </w:p>
    <w:p w14:paraId="03AB198B">
      <w:pPr>
        <w:ind w:firstLine="560" w:firstLineChars="200"/>
        <w:rPr>
          <w:rFonts w:hint="eastAsia"/>
          <w:sz w:val="28"/>
        </w:rPr>
      </w:pPr>
      <w:r>
        <w:rPr>
          <w:rFonts w:hint="eastAsia"/>
          <w:sz w:val="28"/>
        </w:rPr>
        <w:t>当前，随着智慧医疗建设的深入推进及医疗质量安全管理要求的不断提升，医院感染管理作为保障患者安全、提升医疗质量的核心环节，其信息化支撑能力已成为医院高质量发展的关键指标。结合我院实际管理现状，现就重新采购医院感染管理信息系统的问题较为迫切。</w:t>
      </w:r>
    </w:p>
    <w:p w14:paraId="0D529601">
      <w:pPr>
        <w:ind w:firstLine="560" w:firstLineChars="200"/>
        <w:rPr>
          <w:sz w:val="28"/>
        </w:rPr>
      </w:pPr>
      <w:r>
        <w:rPr>
          <w:rFonts w:hint="eastAsia"/>
          <w:sz w:val="28"/>
        </w:rPr>
        <w:t>公共卫生管理是医院履行社会责任、保障全民健康的核心环节。公共卫生监测系统依托大数据、人工智能和物联网技术，通过实时数据采集与分析，为医院公共卫生管理提供智能化支撑，赋予医院“主动防控”的能力，高效从被动响应到精准治理的转型。结合我院实际管理现状，现就公共卫生监测系统的问题较为迫切。</w:t>
      </w:r>
    </w:p>
    <w:p w14:paraId="3451604F">
      <w:pPr>
        <w:ind w:firstLine="560" w:firstLineChars="200"/>
        <w:rPr>
          <w:sz w:val="28"/>
          <w:highlight w:val="none"/>
        </w:rPr>
      </w:pPr>
      <w:r>
        <w:rPr>
          <w:rFonts w:hint="eastAsia"/>
          <w:sz w:val="28"/>
        </w:rPr>
        <w:t>为确保项目科学规划、合理实施，现诚邀具备相关资质与技术实力的供应商参与调研询价论证会，欢迎有意向供应商报名参加。现将有关事项通知</w:t>
      </w:r>
      <w:r>
        <w:rPr>
          <w:rFonts w:hint="eastAsia"/>
          <w:sz w:val="28"/>
          <w:highlight w:val="none"/>
        </w:rPr>
        <w:t>如下：</w:t>
      </w:r>
    </w:p>
    <w:p w14:paraId="30E8762A">
      <w:pPr>
        <w:ind w:firstLine="562" w:firstLineChars="200"/>
        <w:rPr>
          <w:sz w:val="28"/>
          <w:highlight w:val="none"/>
        </w:rPr>
      </w:pPr>
      <w:r>
        <w:rPr>
          <w:rFonts w:hint="eastAsia"/>
          <w:b/>
          <w:sz w:val="28"/>
          <w:highlight w:val="none"/>
        </w:rPr>
        <w:t>一</w:t>
      </w:r>
      <w:r>
        <w:rPr>
          <w:b/>
          <w:sz w:val="28"/>
          <w:highlight w:val="none"/>
        </w:rPr>
        <w:t>、</w:t>
      </w:r>
      <w:r>
        <w:rPr>
          <w:rFonts w:hint="eastAsia"/>
          <w:b/>
          <w:sz w:val="28"/>
          <w:highlight w:val="none"/>
        </w:rPr>
        <w:t>报名时间</w:t>
      </w:r>
      <w:r>
        <w:rPr>
          <w:b/>
          <w:sz w:val="28"/>
          <w:highlight w:val="none"/>
        </w:rPr>
        <w:t>：</w:t>
      </w:r>
      <w:r>
        <w:rPr>
          <w:rFonts w:hint="eastAsia"/>
          <w:sz w:val="28"/>
          <w:highlight w:val="none"/>
        </w:rPr>
        <w:t>即日起</w:t>
      </w:r>
      <w:r>
        <w:rPr>
          <w:sz w:val="28"/>
          <w:highlight w:val="none"/>
        </w:rPr>
        <w:t>至</w:t>
      </w:r>
      <w:r>
        <w:rPr>
          <w:rFonts w:hint="eastAsia"/>
          <w:sz w:val="28"/>
          <w:highlight w:val="none"/>
        </w:rPr>
        <w:t>202</w:t>
      </w:r>
      <w:r>
        <w:rPr>
          <w:sz w:val="28"/>
          <w:highlight w:val="none"/>
        </w:rPr>
        <w:t>5</w:t>
      </w:r>
      <w:r>
        <w:rPr>
          <w:rFonts w:hint="eastAsia"/>
          <w:sz w:val="28"/>
          <w:highlight w:val="none"/>
        </w:rPr>
        <w:t>年</w:t>
      </w:r>
      <w:r>
        <w:rPr>
          <w:rFonts w:hint="eastAsia"/>
          <w:sz w:val="28"/>
          <w:highlight w:val="none"/>
          <w:lang w:val="en-US" w:eastAsia="zh-CN"/>
        </w:rPr>
        <w:t>11</w:t>
      </w:r>
      <w:r>
        <w:rPr>
          <w:rFonts w:hint="eastAsia"/>
          <w:sz w:val="28"/>
          <w:highlight w:val="none"/>
        </w:rPr>
        <w:t>月</w:t>
      </w:r>
      <w:r>
        <w:rPr>
          <w:rFonts w:hint="eastAsia"/>
          <w:sz w:val="28"/>
          <w:highlight w:val="none"/>
          <w:lang w:val="en-US" w:eastAsia="zh-CN"/>
        </w:rPr>
        <w:t>4</w:t>
      </w:r>
      <w:bookmarkStart w:id="0" w:name="_GoBack"/>
      <w:bookmarkEnd w:id="0"/>
      <w:r>
        <w:rPr>
          <w:rFonts w:hint="eastAsia"/>
          <w:sz w:val="28"/>
          <w:highlight w:val="none"/>
        </w:rPr>
        <w:t>日17:00之前。</w:t>
      </w:r>
    </w:p>
    <w:p w14:paraId="6109FD53">
      <w:pPr>
        <w:ind w:firstLine="562" w:firstLineChars="200"/>
        <w:rPr>
          <w:sz w:val="28"/>
          <w:highlight w:val="none"/>
        </w:rPr>
      </w:pPr>
      <w:r>
        <w:rPr>
          <w:rFonts w:hint="eastAsia"/>
          <w:b/>
          <w:sz w:val="28"/>
          <w:highlight w:val="none"/>
        </w:rPr>
        <w:t>二</w:t>
      </w:r>
      <w:r>
        <w:rPr>
          <w:b/>
          <w:sz w:val="28"/>
          <w:highlight w:val="none"/>
        </w:rPr>
        <w:t>、报名方式：</w:t>
      </w:r>
      <w:r>
        <w:rPr>
          <w:rFonts w:hint="eastAsia"/>
          <w:sz w:val="28"/>
          <w:highlight w:val="none"/>
        </w:rPr>
        <w:t>请</w:t>
      </w:r>
      <w:r>
        <w:rPr>
          <w:sz w:val="28"/>
          <w:highlight w:val="none"/>
        </w:rPr>
        <w:t>将相关材料电子版发送至</w:t>
      </w:r>
      <w:r>
        <w:rPr>
          <w:rFonts w:hint="eastAsia"/>
          <w:sz w:val="28"/>
          <w:highlight w:val="none"/>
        </w:rPr>
        <w:t>电子</w:t>
      </w:r>
      <w:r>
        <w:rPr>
          <w:sz w:val="28"/>
          <w:highlight w:val="none"/>
        </w:rPr>
        <w:t>邮箱tjykdxykyysbk@tj.gov.cn</w:t>
      </w:r>
      <w:r>
        <w:rPr>
          <w:rFonts w:hint="eastAsia"/>
          <w:sz w:val="28"/>
          <w:highlight w:val="none"/>
        </w:rPr>
        <w:t>。</w:t>
      </w:r>
    </w:p>
    <w:p w14:paraId="574851B6">
      <w:pPr>
        <w:ind w:firstLine="562" w:firstLineChars="200"/>
        <w:rPr>
          <w:b/>
          <w:sz w:val="28"/>
        </w:rPr>
      </w:pPr>
      <w:r>
        <w:rPr>
          <w:rFonts w:hint="eastAsia"/>
          <w:b/>
          <w:sz w:val="28"/>
        </w:rPr>
        <w:t>三</w:t>
      </w:r>
      <w:r>
        <w:rPr>
          <w:b/>
          <w:sz w:val="28"/>
        </w:rPr>
        <w:t>、报名材料</w:t>
      </w:r>
    </w:p>
    <w:p w14:paraId="0C7396ED">
      <w:pPr>
        <w:ind w:firstLine="560" w:firstLineChars="200"/>
        <w:rPr>
          <w:sz w:val="28"/>
        </w:rPr>
      </w:pPr>
      <w:r>
        <w:rPr>
          <w:rFonts w:hint="eastAsia"/>
          <w:sz w:val="28"/>
        </w:rPr>
        <w:t>1.报名函</w:t>
      </w:r>
    </w:p>
    <w:p w14:paraId="4971B37A">
      <w:pPr>
        <w:ind w:firstLine="560" w:firstLineChars="200"/>
        <w:rPr>
          <w:sz w:val="28"/>
        </w:rPr>
      </w:pPr>
      <w:r>
        <w:rPr>
          <w:rFonts w:hint="eastAsia"/>
          <w:sz w:val="28"/>
        </w:rPr>
        <w:t>2.（1）营业执照副本或事业单位法人证书或民办非企业单位登记证书或社会团体法人登记证书或基金会法人登记证书扫描件。</w:t>
      </w:r>
    </w:p>
    <w:p w14:paraId="29FF1DB2">
      <w:pPr>
        <w:ind w:firstLine="560" w:firstLineChars="200"/>
        <w:rPr>
          <w:sz w:val="28"/>
        </w:rPr>
      </w:pPr>
      <w:r>
        <w:rPr>
          <w:rFonts w:hint="eastAsia"/>
          <w:sz w:val="28"/>
        </w:rPr>
        <w:t>（2）财务状况报告等相关材料：</w:t>
      </w:r>
    </w:p>
    <w:p w14:paraId="3B230F5B">
      <w:pPr>
        <w:ind w:firstLine="560" w:firstLineChars="200"/>
        <w:rPr>
          <w:sz w:val="28"/>
        </w:rPr>
      </w:pPr>
      <w:r>
        <w:rPr>
          <w:rFonts w:hint="eastAsia"/>
          <w:sz w:val="28"/>
        </w:rPr>
        <w:t>A.202</w:t>
      </w:r>
      <w:r>
        <w:rPr>
          <w:sz w:val="28"/>
        </w:rPr>
        <w:t>3</w:t>
      </w:r>
      <w:r>
        <w:rPr>
          <w:rFonts w:hint="eastAsia"/>
          <w:sz w:val="28"/>
        </w:rPr>
        <w:t>年或202</w:t>
      </w:r>
      <w:r>
        <w:rPr>
          <w:sz w:val="28"/>
        </w:rPr>
        <w:t>4</w:t>
      </w:r>
      <w:r>
        <w:rPr>
          <w:rFonts w:hint="eastAsia"/>
          <w:sz w:val="28"/>
        </w:rPr>
        <w:t>年度经第三方会计师事务所审计的企业财务报告扫描件。</w:t>
      </w:r>
    </w:p>
    <w:p w14:paraId="4B10D9CB">
      <w:pPr>
        <w:ind w:firstLine="560" w:firstLineChars="200"/>
        <w:rPr>
          <w:sz w:val="28"/>
        </w:rPr>
      </w:pPr>
      <w:r>
        <w:rPr>
          <w:rFonts w:hint="eastAsia"/>
          <w:sz w:val="28"/>
        </w:rPr>
        <w:t>B.202</w:t>
      </w:r>
      <w:r>
        <w:rPr>
          <w:sz w:val="28"/>
        </w:rPr>
        <w:t>4</w:t>
      </w:r>
      <w:r>
        <w:rPr>
          <w:rFonts w:hint="eastAsia"/>
          <w:sz w:val="28"/>
        </w:rPr>
        <w:t>年度或202</w:t>
      </w:r>
      <w:r>
        <w:rPr>
          <w:sz w:val="28"/>
        </w:rPr>
        <w:t>5</w:t>
      </w:r>
      <w:r>
        <w:rPr>
          <w:rFonts w:hint="eastAsia"/>
          <w:sz w:val="28"/>
        </w:rPr>
        <w:t>年度银行出具的资信证明扫描件。</w:t>
      </w:r>
    </w:p>
    <w:p w14:paraId="60802260">
      <w:pPr>
        <w:ind w:firstLine="560" w:firstLineChars="200"/>
        <w:rPr>
          <w:sz w:val="28"/>
        </w:rPr>
      </w:pPr>
      <w:r>
        <w:rPr>
          <w:rFonts w:hint="eastAsia"/>
          <w:sz w:val="28"/>
        </w:rPr>
        <w:t>注：A、B两项提供任意一项均可。</w:t>
      </w:r>
    </w:p>
    <w:p w14:paraId="2EB3B0B7">
      <w:pPr>
        <w:ind w:firstLine="560" w:firstLineChars="200"/>
        <w:rPr>
          <w:sz w:val="28"/>
        </w:rPr>
      </w:pPr>
      <w:r>
        <w:rPr>
          <w:rFonts w:hint="eastAsia"/>
          <w:sz w:val="28"/>
        </w:rPr>
        <w:t>（3）202</w:t>
      </w:r>
      <w:r>
        <w:rPr>
          <w:sz w:val="28"/>
        </w:rPr>
        <w:t>4</w:t>
      </w:r>
      <w:r>
        <w:rPr>
          <w:rFonts w:hint="eastAsia"/>
          <w:sz w:val="28"/>
        </w:rPr>
        <w:t>年或202</w:t>
      </w:r>
      <w:r>
        <w:rPr>
          <w:sz w:val="28"/>
        </w:rPr>
        <w:t>5</w:t>
      </w:r>
      <w:r>
        <w:rPr>
          <w:rFonts w:hint="eastAsia"/>
          <w:sz w:val="28"/>
        </w:rPr>
        <w:t>年至少1个月的依法缴纳税收和社会保险费的相关证明材料扫描件。</w:t>
      </w:r>
    </w:p>
    <w:p w14:paraId="3E8F2F47">
      <w:pPr>
        <w:ind w:firstLine="560" w:firstLineChars="200"/>
        <w:rPr>
          <w:sz w:val="28"/>
        </w:rPr>
      </w:pPr>
      <w:r>
        <w:rPr>
          <w:rFonts w:hint="eastAsia"/>
          <w:sz w:val="28"/>
        </w:rPr>
        <w:t>（4）报名截止日前3年在经营活动中没有重大违法记录的书面声明（截至开标日成立不足3年的供应商可提供自成立以来无重大违法记录的书面声明）。</w:t>
      </w:r>
    </w:p>
    <w:p w14:paraId="1615859F">
      <w:pPr>
        <w:tabs>
          <w:tab w:val="left" w:pos="3945"/>
        </w:tabs>
        <w:ind w:firstLine="280" w:firstLineChars="100"/>
        <w:jc w:val="left"/>
        <w:rPr>
          <w:sz w:val="28"/>
        </w:rPr>
      </w:pPr>
      <w:r>
        <w:rPr>
          <w:rFonts w:hint="eastAsia"/>
          <w:sz w:val="28"/>
        </w:rPr>
        <w:t>4.法定</w:t>
      </w:r>
      <w:r>
        <w:rPr>
          <w:sz w:val="28"/>
        </w:rPr>
        <w:t>代表人授权书</w:t>
      </w:r>
    </w:p>
    <w:p w14:paraId="52B3DB89">
      <w:pPr>
        <w:tabs>
          <w:tab w:val="left" w:pos="3945"/>
        </w:tabs>
        <w:ind w:firstLine="280" w:firstLineChars="100"/>
        <w:jc w:val="left"/>
        <w:rPr>
          <w:sz w:val="28"/>
        </w:rPr>
      </w:pPr>
      <w:r>
        <w:rPr>
          <w:rFonts w:hint="eastAsia"/>
          <w:sz w:val="28"/>
        </w:rPr>
        <w:t>5.业绩</w:t>
      </w:r>
      <w:r>
        <w:rPr>
          <w:sz w:val="28"/>
        </w:rPr>
        <w:t>证明材料</w:t>
      </w:r>
      <w:r>
        <w:rPr>
          <w:rFonts w:hint="eastAsia"/>
          <w:sz w:val="28"/>
        </w:rPr>
        <w:t>（包括</w:t>
      </w:r>
      <w:r>
        <w:rPr>
          <w:sz w:val="28"/>
        </w:rPr>
        <w:t>：</w:t>
      </w:r>
      <w:r>
        <w:rPr>
          <w:rFonts w:hint="eastAsia"/>
          <w:sz w:val="28"/>
        </w:rPr>
        <w:t>所投产品自202</w:t>
      </w:r>
      <w:r>
        <w:rPr>
          <w:sz w:val="28"/>
        </w:rPr>
        <w:t>2</w:t>
      </w:r>
      <w:r>
        <w:rPr>
          <w:rFonts w:hint="eastAsia"/>
          <w:sz w:val="28"/>
        </w:rPr>
        <w:t>年以来的业绩合同案例）</w:t>
      </w:r>
    </w:p>
    <w:p w14:paraId="58F9E824">
      <w:pPr>
        <w:tabs>
          <w:tab w:val="left" w:pos="3945"/>
        </w:tabs>
        <w:ind w:firstLine="280" w:firstLineChars="100"/>
        <w:jc w:val="left"/>
        <w:rPr>
          <w:sz w:val="28"/>
        </w:rPr>
      </w:pPr>
      <w:r>
        <w:rPr>
          <w:rFonts w:hint="eastAsia"/>
          <w:sz w:val="28"/>
        </w:rPr>
        <w:t>6.售后</w:t>
      </w:r>
      <w:r>
        <w:rPr>
          <w:sz w:val="28"/>
        </w:rPr>
        <w:t>服务承诺</w:t>
      </w:r>
    </w:p>
    <w:p w14:paraId="064B90F6">
      <w:pPr>
        <w:tabs>
          <w:tab w:val="left" w:pos="3945"/>
        </w:tabs>
        <w:ind w:firstLine="280" w:firstLineChars="100"/>
        <w:jc w:val="left"/>
        <w:rPr>
          <w:sz w:val="28"/>
        </w:rPr>
      </w:pPr>
      <w:r>
        <w:rPr>
          <w:rFonts w:hint="eastAsia"/>
          <w:sz w:val="28"/>
        </w:rPr>
        <w:t>7.产品</w:t>
      </w:r>
      <w:r>
        <w:rPr>
          <w:sz w:val="28"/>
        </w:rPr>
        <w:t>配置清单</w:t>
      </w:r>
    </w:p>
    <w:p w14:paraId="1C04E5B7">
      <w:pPr>
        <w:tabs>
          <w:tab w:val="left" w:pos="3945"/>
        </w:tabs>
        <w:ind w:firstLine="280" w:firstLineChars="100"/>
        <w:jc w:val="left"/>
        <w:rPr>
          <w:sz w:val="28"/>
        </w:rPr>
      </w:pPr>
      <w:r>
        <w:rPr>
          <w:rFonts w:hint="eastAsia"/>
          <w:sz w:val="28"/>
        </w:rPr>
        <w:t>注</w:t>
      </w:r>
      <w:r>
        <w:rPr>
          <w:sz w:val="28"/>
        </w:rPr>
        <w:t>：所有复印资料均需加盖供应商公章。</w:t>
      </w:r>
      <w:r>
        <w:rPr>
          <w:sz w:val="28"/>
        </w:rPr>
        <w:tab/>
      </w:r>
    </w:p>
    <w:p w14:paraId="02ED67BD">
      <w:pPr>
        <w:ind w:firstLine="281" w:firstLineChars="100"/>
        <w:jc w:val="left"/>
        <w:rPr>
          <w:b/>
          <w:sz w:val="28"/>
        </w:rPr>
      </w:pPr>
      <w:r>
        <w:rPr>
          <w:rFonts w:hint="eastAsia"/>
          <w:b/>
          <w:sz w:val="28"/>
        </w:rPr>
        <w:t>四</w:t>
      </w:r>
      <w:r>
        <w:rPr>
          <w:b/>
          <w:sz w:val="28"/>
        </w:rPr>
        <w:t>、</w:t>
      </w:r>
      <w:r>
        <w:rPr>
          <w:rFonts w:hint="eastAsia"/>
          <w:b/>
          <w:sz w:val="28"/>
        </w:rPr>
        <w:t>论证会议程</w:t>
      </w:r>
    </w:p>
    <w:p w14:paraId="68B1715C">
      <w:pPr>
        <w:ind w:firstLine="280" w:firstLineChars="100"/>
        <w:jc w:val="left"/>
        <w:rPr>
          <w:sz w:val="28"/>
        </w:rPr>
      </w:pPr>
      <w:r>
        <w:rPr>
          <w:rFonts w:hint="eastAsia"/>
          <w:sz w:val="28"/>
        </w:rPr>
        <w:t>1.院方</w:t>
      </w:r>
      <w:r>
        <w:rPr>
          <w:sz w:val="28"/>
        </w:rPr>
        <w:t>介绍项目背景</w:t>
      </w:r>
    </w:p>
    <w:p w14:paraId="7A56BCFF">
      <w:pPr>
        <w:ind w:firstLine="280" w:firstLineChars="100"/>
        <w:jc w:val="left"/>
        <w:rPr>
          <w:sz w:val="28"/>
        </w:rPr>
      </w:pPr>
      <w:r>
        <w:rPr>
          <w:sz w:val="28"/>
        </w:rPr>
        <w:t>2</w:t>
      </w:r>
      <w:r>
        <w:rPr>
          <w:rFonts w:hint="eastAsia"/>
          <w:sz w:val="28"/>
        </w:rPr>
        <w:t>.</w:t>
      </w:r>
      <w:r>
        <w:rPr>
          <w:sz w:val="28"/>
        </w:rPr>
        <w:t>供应商按当天签到顺序</w:t>
      </w:r>
      <w:r>
        <w:rPr>
          <w:rFonts w:hint="eastAsia"/>
          <w:sz w:val="28"/>
        </w:rPr>
        <w:t>对</w:t>
      </w:r>
      <w:r>
        <w:rPr>
          <w:sz w:val="28"/>
        </w:rPr>
        <w:t>所投产品</w:t>
      </w:r>
      <w:r>
        <w:rPr>
          <w:rFonts w:hint="eastAsia"/>
          <w:sz w:val="28"/>
        </w:rPr>
        <w:t>做</w:t>
      </w:r>
      <w:r>
        <w:rPr>
          <w:rFonts w:hint="eastAsia"/>
          <w:color w:val="auto"/>
          <w:sz w:val="28"/>
        </w:rPr>
        <w:t>5分钟</w:t>
      </w:r>
      <w:r>
        <w:rPr>
          <w:sz w:val="28"/>
        </w:rPr>
        <w:t>的陈述</w:t>
      </w:r>
      <w:r>
        <w:rPr>
          <w:rFonts w:hint="eastAsia"/>
          <w:sz w:val="28"/>
        </w:rPr>
        <w:t>（可</w:t>
      </w:r>
      <w:r>
        <w:rPr>
          <w:sz w:val="28"/>
        </w:rPr>
        <w:t>使用</w:t>
      </w:r>
      <w:r>
        <w:rPr>
          <w:rFonts w:hint="eastAsia"/>
          <w:sz w:val="28"/>
        </w:rPr>
        <w:t>PPT）。主要内容：系统的主要技术性能及优势、主要配置、市场占有率、运行情况及运行费用、售后服务及供应商认为应该说明的事项等。</w:t>
      </w:r>
    </w:p>
    <w:p w14:paraId="6C9D8D07">
      <w:pPr>
        <w:ind w:firstLine="280" w:firstLineChars="100"/>
        <w:rPr>
          <w:sz w:val="28"/>
        </w:rPr>
      </w:pPr>
      <w:r>
        <w:rPr>
          <w:rFonts w:hint="eastAsia"/>
          <w:sz w:val="28"/>
        </w:rPr>
        <w:t>3.</w:t>
      </w:r>
      <w:r>
        <w:rPr>
          <w:sz w:val="28"/>
        </w:rPr>
        <w:t>专家组根据各供应商</w:t>
      </w:r>
      <w:r>
        <w:rPr>
          <w:rFonts w:hint="eastAsia"/>
          <w:sz w:val="28"/>
        </w:rPr>
        <w:t>情况</w:t>
      </w:r>
      <w:r>
        <w:rPr>
          <w:sz w:val="28"/>
        </w:rPr>
        <w:t>进行提问。</w:t>
      </w:r>
    </w:p>
    <w:p w14:paraId="73383243">
      <w:pPr>
        <w:ind w:firstLine="281" w:firstLineChars="100"/>
        <w:rPr>
          <w:b/>
          <w:sz w:val="28"/>
        </w:rPr>
      </w:pPr>
      <w:r>
        <w:rPr>
          <w:rFonts w:hint="eastAsia"/>
          <w:b/>
          <w:sz w:val="28"/>
        </w:rPr>
        <w:t>五</w:t>
      </w:r>
      <w:r>
        <w:rPr>
          <w:b/>
          <w:sz w:val="28"/>
        </w:rPr>
        <w:t>、论证会时间</w:t>
      </w:r>
      <w:r>
        <w:rPr>
          <w:rFonts w:hint="eastAsia"/>
          <w:b/>
          <w:sz w:val="28"/>
        </w:rPr>
        <w:t>地点：</w:t>
      </w:r>
      <w:r>
        <w:rPr>
          <w:rFonts w:hint="eastAsia"/>
          <w:b/>
          <w:sz w:val="28"/>
          <w:u w:val="single"/>
        </w:rPr>
        <w:t>另行通知。</w:t>
      </w:r>
    </w:p>
    <w:p w14:paraId="4DED23C2">
      <w:pPr>
        <w:ind w:firstLine="281" w:firstLineChars="100"/>
        <w:rPr>
          <w:b/>
          <w:sz w:val="28"/>
        </w:rPr>
      </w:pPr>
      <w:r>
        <w:rPr>
          <w:rFonts w:hint="eastAsia"/>
          <w:b/>
          <w:sz w:val="28"/>
        </w:rPr>
        <w:t>六、此次</w:t>
      </w:r>
      <w:r>
        <w:rPr>
          <w:b/>
          <w:sz w:val="28"/>
        </w:rPr>
        <w:t>调研</w:t>
      </w:r>
      <w:r>
        <w:rPr>
          <w:rFonts w:hint="eastAsia"/>
          <w:b/>
          <w:sz w:val="28"/>
        </w:rPr>
        <w:t>询价</w:t>
      </w:r>
      <w:r>
        <w:rPr>
          <w:b/>
          <w:sz w:val="28"/>
        </w:rPr>
        <w:t>论证</w:t>
      </w:r>
      <w:r>
        <w:rPr>
          <w:rFonts w:hint="eastAsia"/>
          <w:b/>
          <w:sz w:val="28"/>
        </w:rPr>
        <w:t>的内容</w:t>
      </w:r>
      <w:r>
        <w:rPr>
          <w:b/>
          <w:sz w:val="28"/>
        </w:rPr>
        <w:t>：</w:t>
      </w:r>
    </w:p>
    <w:p w14:paraId="1D81A737">
      <w:pPr>
        <w:autoSpaceDN w:val="0"/>
        <w:spacing w:line="360" w:lineRule="auto"/>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此次参与论证厂商所投产品需在满足技术参数的标准同时，还需要满足相关商务需求。具体需求为：</w:t>
      </w:r>
    </w:p>
    <w:p w14:paraId="11F8A560">
      <w:pPr>
        <w:pStyle w:val="11"/>
        <w:numPr>
          <w:ilvl w:val="0"/>
          <w:numId w:val="1"/>
        </w:numPr>
        <w:autoSpaceDN w:val="0"/>
        <w:spacing w:line="360" w:lineRule="auto"/>
        <w:ind w:firstLineChars="0"/>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此次论证的所有产品需提供并包含五年原厂维保支持服务（国产化数据库及操作系统软件除外）。</w:t>
      </w:r>
    </w:p>
    <w:p w14:paraId="0AED16CA">
      <w:pPr>
        <w:pStyle w:val="11"/>
        <w:numPr>
          <w:ilvl w:val="0"/>
          <w:numId w:val="1"/>
        </w:numPr>
        <w:autoSpaceDN w:val="0"/>
        <w:spacing w:line="360" w:lineRule="auto"/>
        <w:ind w:firstLineChars="0"/>
        <w:rPr>
          <w:sz w:val="28"/>
          <w:highlight w:val="none"/>
        </w:rPr>
      </w:pPr>
      <w:r>
        <w:rPr>
          <w:rFonts w:hint="eastAsia"/>
          <w:sz w:val="28"/>
          <w:highlight w:val="none"/>
        </w:rPr>
        <w:t>此次论证涉及的所有产品需适配信创产品。</w:t>
      </w:r>
    </w:p>
    <w:p w14:paraId="448FFEBA">
      <w:pPr>
        <w:pStyle w:val="11"/>
        <w:numPr>
          <w:ilvl w:val="0"/>
          <w:numId w:val="1"/>
        </w:numPr>
        <w:autoSpaceDN w:val="0"/>
        <w:spacing w:line="360" w:lineRule="auto"/>
        <w:ind w:firstLineChars="0"/>
        <w:rPr>
          <w:sz w:val="28"/>
          <w:highlight w:val="none"/>
        </w:rPr>
      </w:pPr>
      <w:r>
        <w:rPr>
          <w:rFonts w:hint="eastAsia"/>
          <w:sz w:val="28"/>
          <w:highlight w:val="none"/>
        </w:rPr>
        <w:t>在满足技术参数的同时还应满足并可配合医院后续对于电子病历五级及互联互通四级的评审工作。</w:t>
      </w:r>
    </w:p>
    <w:p w14:paraId="632BFA03">
      <w:pPr>
        <w:pStyle w:val="11"/>
        <w:numPr>
          <w:ilvl w:val="0"/>
          <w:numId w:val="1"/>
        </w:numPr>
        <w:autoSpaceDN w:val="0"/>
        <w:spacing w:line="360" w:lineRule="auto"/>
        <w:ind w:firstLineChars="0"/>
        <w:rPr>
          <w:sz w:val="28"/>
          <w:highlight w:val="none"/>
        </w:rPr>
      </w:pPr>
      <w:r>
        <w:rPr>
          <w:rFonts w:hint="eastAsia"/>
          <w:sz w:val="28"/>
          <w:highlight w:val="none"/>
        </w:rPr>
        <w:t>此次所论证系统，应包含与医院现有数据平台及其他相关软件的参数对接功能及所产生的相关接口费用。</w:t>
      </w:r>
    </w:p>
    <w:p w14:paraId="4845C3BC">
      <w:pPr>
        <w:pStyle w:val="11"/>
        <w:numPr>
          <w:ilvl w:val="0"/>
          <w:numId w:val="1"/>
        </w:numPr>
        <w:autoSpaceDN w:val="0"/>
        <w:spacing w:line="360" w:lineRule="auto"/>
        <w:ind w:firstLineChars="0"/>
        <w:rPr>
          <w:sz w:val="28"/>
          <w:highlight w:val="none"/>
        </w:rPr>
      </w:pPr>
      <w:r>
        <w:rPr>
          <w:rFonts w:hint="eastAsia"/>
          <w:sz w:val="28"/>
          <w:highlight w:val="yellow"/>
          <w:lang w:val="en-US" w:eastAsia="zh-CN"/>
        </w:rPr>
        <w:t>项目包括操作系统、数据库、中间件各一套</w:t>
      </w:r>
      <w:r>
        <w:rPr>
          <w:rFonts w:hint="eastAsia"/>
          <w:sz w:val="28"/>
          <w:highlight w:val="none"/>
          <w:lang w:val="en-US" w:eastAsia="zh-CN"/>
        </w:rPr>
        <w:t>。</w:t>
      </w:r>
    </w:p>
    <w:p w14:paraId="29233A21">
      <w:pPr>
        <w:pStyle w:val="11"/>
        <w:numPr>
          <w:ilvl w:val="0"/>
          <w:numId w:val="2"/>
        </w:numPr>
        <w:autoSpaceDN w:val="0"/>
        <w:spacing w:line="360" w:lineRule="auto"/>
        <w:ind w:firstLineChars="0"/>
        <w:rPr>
          <w:b/>
          <w:sz w:val="28"/>
        </w:rPr>
      </w:pPr>
      <w:r>
        <w:rPr>
          <w:rFonts w:hint="eastAsia"/>
          <w:b/>
          <w:sz w:val="28"/>
        </w:rPr>
        <w:t>产品功能参数要求</w:t>
      </w:r>
    </w:p>
    <w:p w14:paraId="76796524">
      <w:pPr>
        <w:pStyle w:val="11"/>
        <w:numPr>
          <w:ilvl w:val="0"/>
          <w:numId w:val="0"/>
        </w:numPr>
        <w:autoSpaceDN w:val="0"/>
        <w:spacing w:line="360" w:lineRule="auto"/>
        <w:ind w:left="281" w:leftChars="0"/>
        <w:rPr>
          <w:rFonts w:hint="eastAsia"/>
          <w:b/>
          <w:sz w:val="28"/>
          <w:lang w:val="en-US" w:eastAsia="zh-CN"/>
        </w:rPr>
      </w:pPr>
      <w:r>
        <w:rPr>
          <w:rFonts w:hint="eastAsia"/>
          <w:b/>
          <w:sz w:val="28"/>
          <w:lang w:val="en-US" w:eastAsia="zh-CN"/>
        </w:rPr>
        <w:t>1.医院感染管理信息系统</w:t>
      </w:r>
    </w:p>
    <w:tbl>
      <w:tblPr>
        <w:tblStyle w:val="7"/>
        <w:tblW w:w="928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95"/>
        <w:gridCol w:w="1275"/>
        <w:gridCol w:w="7517"/>
      </w:tblGrid>
      <w:tr w14:paraId="5E4896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ACD730">
            <w:pPr>
              <w:widowControl/>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C7FF9E">
            <w:pPr>
              <w:widowControl/>
              <w:jc w:val="center"/>
              <w:rPr>
                <w:rFonts w:ascii="宋体" w:hAnsi="宋体" w:eastAsia="宋体" w:cs="宋体"/>
                <w:b/>
                <w:bCs/>
                <w:sz w:val="24"/>
                <w:szCs w:val="24"/>
                <w:lang w:val="zh-TW"/>
              </w:rPr>
            </w:pPr>
            <w:r>
              <w:rPr>
                <w:rFonts w:hint="eastAsia" w:ascii="宋体" w:hAnsi="宋体" w:eastAsia="宋体" w:cs="宋体"/>
                <w:b/>
                <w:bCs/>
                <w:sz w:val="24"/>
                <w:szCs w:val="24"/>
                <w:lang w:val="zh-TW"/>
              </w:rPr>
              <w:t>模块名</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60632">
            <w:pPr>
              <w:widowControl/>
              <w:jc w:val="center"/>
              <w:rPr>
                <w:rFonts w:ascii="宋体" w:hAnsi="宋体" w:eastAsia="宋体" w:cs="宋体"/>
                <w:b/>
                <w:bCs/>
                <w:sz w:val="24"/>
                <w:szCs w:val="24"/>
                <w:lang w:val="zh-TW"/>
              </w:rPr>
            </w:pPr>
            <w:r>
              <w:rPr>
                <w:rFonts w:hint="eastAsia" w:ascii="宋体" w:hAnsi="宋体" w:eastAsia="宋体" w:cs="宋体"/>
                <w:b/>
                <w:bCs/>
                <w:sz w:val="24"/>
                <w:szCs w:val="24"/>
              </w:rPr>
              <w:t>具体功能参数及要求</w:t>
            </w:r>
          </w:p>
        </w:tc>
      </w:tr>
      <w:tr w14:paraId="5D29AB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6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B0CA5D">
            <w:pPr>
              <w:widowControl/>
              <w:jc w:val="center"/>
              <w:rPr>
                <w:rFonts w:ascii="宋体" w:hAnsi="宋体" w:eastAsia="宋体" w:cs="宋体"/>
                <w:sz w:val="24"/>
                <w:szCs w:val="24"/>
              </w:rPr>
            </w:pPr>
            <w:r>
              <w:rPr>
                <w:rFonts w:hint="eastAsia" w:ascii="宋体" w:hAnsi="宋体" w:eastAsia="宋体" w:cs="宋体"/>
                <w:sz w:val="24"/>
                <w:szCs w:val="24"/>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00544">
            <w:pPr>
              <w:widowControl/>
              <w:jc w:val="center"/>
              <w:rPr>
                <w:rFonts w:ascii="宋体" w:hAnsi="宋体" w:eastAsia="宋体" w:cs="宋体"/>
                <w:sz w:val="24"/>
                <w:szCs w:val="24"/>
              </w:rPr>
            </w:pPr>
            <w:r>
              <w:rPr>
                <w:rFonts w:hint="eastAsia" w:ascii="宋体" w:hAnsi="宋体" w:eastAsia="宋体" w:cs="宋体"/>
                <w:sz w:val="24"/>
                <w:szCs w:val="24"/>
                <w:lang w:val="zh-TW" w:eastAsia="zh-TW"/>
              </w:rPr>
              <w:t>病例预警</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6E6AD04">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w:t>
            </w:r>
            <w:r>
              <w:rPr>
                <w:rFonts w:hint="eastAsia" w:ascii="宋体" w:hAnsi="宋体" w:eastAsia="宋体" w:cs="宋体"/>
                <w:sz w:val="24"/>
                <w:szCs w:val="24"/>
                <w:lang w:val="zh-TW" w:eastAsia="zh-TW"/>
              </w:rPr>
              <w:t>医院感染诊断标准</w:t>
            </w:r>
            <w:r>
              <w:rPr>
                <w:rFonts w:hint="eastAsia" w:ascii="宋体" w:hAnsi="宋体" w:eastAsia="宋体" w:cs="宋体"/>
                <w:sz w:val="24"/>
                <w:szCs w:val="24"/>
              </w:rPr>
              <w:t>(2001)</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诊断模型。</w:t>
            </w:r>
          </w:p>
          <w:p w14:paraId="2A88257B">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支持对纯文本、半结构化或结构化的病历内容进行自然语言分析处理，对</w:t>
            </w:r>
            <w:r>
              <w:rPr>
                <w:rFonts w:hint="eastAsia" w:ascii="宋体" w:hAnsi="宋体" w:eastAsia="宋体" w:cs="宋体"/>
                <w:sz w:val="24"/>
                <w:szCs w:val="24"/>
              </w:rPr>
              <w:t>xml</w:t>
            </w:r>
            <w:r>
              <w:rPr>
                <w:rFonts w:hint="eastAsia" w:ascii="宋体" w:hAnsi="宋体" w:eastAsia="宋体" w:cs="宋体"/>
                <w:sz w:val="24"/>
                <w:szCs w:val="24"/>
                <w:lang w:val="zh-TW" w:eastAsia="zh-TW"/>
              </w:rPr>
              <w:t>、</w:t>
            </w:r>
            <w:r>
              <w:rPr>
                <w:rFonts w:hint="eastAsia" w:ascii="宋体" w:hAnsi="宋体" w:eastAsia="宋体" w:cs="宋体"/>
                <w:sz w:val="24"/>
                <w:szCs w:val="24"/>
              </w:rPr>
              <w:t>html、rtf、txt</w:t>
            </w:r>
            <w:r>
              <w:rPr>
                <w:rFonts w:hint="eastAsia" w:ascii="宋体" w:hAnsi="宋体" w:eastAsia="宋体" w:cs="宋体"/>
                <w:sz w:val="24"/>
                <w:szCs w:val="24"/>
                <w:lang w:val="zh-TW" w:eastAsia="zh-TW"/>
              </w:rPr>
              <w:t>友好支持；</w:t>
            </w:r>
          </w:p>
          <w:p w14:paraId="4412ADE9">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通过自然语言处理技术对患者病例进行语义分析，智能识别感染因素，</w:t>
            </w:r>
            <w:r>
              <w:rPr>
                <w:rFonts w:hint="eastAsia" w:ascii="宋体" w:hAnsi="宋体" w:eastAsia="宋体" w:cs="宋体"/>
                <w:sz w:val="24"/>
                <w:szCs w:val="24"/>
              </w:rPr>
              <w:t>使用特殊颜色字体在病程中标注，方便用户查看，</w:t>
            </w:r>
            <w:r>
              <w:rPr>
                <w:rFonts w:hint="eastAsia" w:ascii="宋体" w:hAnsi="宋体" w:eastAsia="宋体" w:cs="宋体"/>
                <w:sz w:val="24"/>
                <w:szCs w:val="24"/>
                <w:lang w:val="zh-TW" w:eastAsia="zh-TW"/>
              </w:rPr>
              <w:t>并结合检验、检查、体温等信息进行综合预警；支持标记并提取感染因素，单独一列展示感染因素；</w:t>
            </w:r>
          </w:p>
          <w:p w14:paraId="1BA68F66">
            <w:pPr>
              <w:rPr>
                <w:rFonts w:ascii="宋体" w:hAnsi="宋体" w:eastAsia="宋体" w:cs="宋体"/>
                <w:sz w:val="24"/>
                <w:szCs w:val="24"/>
              </w:rPr>
            </w:pPr>
            <w:r>
              <w:rPr>
                <w:rFonts w:hint="eastAsia" w:ascii="宋体" w:hAnsi="宋体" w:eastAsia="宋体" w:cs="宋体"/>
                <w:sz w:val="24"/>
                <w:szCs w:val="24"/>
              </w:rPr>
              <w:t>预警界面支持临床医生上报院感报卡，支持院感科医生选择</w:t>
            </w:r>
          </w:p>
          <w:p w14:paraId="5FD80808">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支持对患者常规检验中感染相关重要指标进行分析并提示，如降钙素原、</w:t>
            </w:r>
            <w:r>
              <w:rPr>
                <w:rFonts w:hint="eastAsia" w:ascii="宋体" w:hAnsi="宋体" w:eastAsia="宋体" w:cs="宋体"/>
                <w:sz w:val="24"/>
                <w:szCs w:val="24"/>
              </w:rPr>
              <w:t>C</w:t>
            </w:r>
            <w:r>
              <w:rPr>
                <w:rFonts w:hint="eastAsia" w:ascii="宋体" w:hAnsi="宋体" w:eastAsia="宋体" w:cs="宋体"/>
                <w:sz w:val="24"/>
                <w:szCs w:val="24"/>
                <w:lang w:val="zh-TW" w:eastAsia="zh-TW"/>
              </w:rPr>
              <w:t>反应蛋白、超敏</w:t>
            </w:r>
            <w:r>
              <w:rPr>
                <w:rFonts w:hint="eastAsia" w:ascii="宋体" w:hAnsi="宋体" w:eastAsia="宋体" w:cs="宋体"/>
                <w:sz w:val="24"/>
                <w:szCs w:val="24"/>
              </w:rPr>
              <w:t>C</w:t>
            </w:r>
            <w:r>
              <w:rPr>
                <w:rFonts w:hint="eastAsia" w:ascii="宋体" w:hAnsi="宋体" w:eastAsia="宋体" w:cs="宋体"/>
                <w:sz w:val="24"/>
                <w:szCs w:val="24"/>
                <w:lang w:val="zh-TW" w:eastAsia="zh-TW"/>
              </w:rPr>
              <w:t>反应蛋白；</w:t>
            </w:r>
          </w:p>
          <w:p w14:paraId="7DB8FBC9">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结合模型预警计算出患者感染部位的感染开始日期，自动区分出医院感染与社区感染；</w:t>
            </w:r>
          </w:p>
          <w:p w14:paraId="3CA048E7">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自动生成待处理疑似感染病例，按在院、关注患者、出院三种患者角度进行预警病例查看，同时支持根据用户管辖科室、全院两种方式查看；</w:t>
            </w:r>
          </w:p>
          <w:p w14:paraId="6C199B8F">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支持对患者疑似感染病例操作的同时，可查看患者的重要关注因素；</w:t>
            </w:r>
          </w:p>
          <w:p w14:paraId="2D71AE64">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支持专职人员对疑似病例处理，包括确认、代报、排除，处理后的疑似病例标记为已确认、已排除，未处理的则是未处理标识；</w:t>
            </w:r>
          </w:p>
          <w:p w14:paraId="7D3C0C77">
            <w:pPr>
              <w:pStyle w:val="11"/>
              <w:widowControl/>
              <w:numPr>
                <w:ilvl w:val="0"/>
                <w:numId w:val="3"/>
              </w:numPr>
              <w:ind w:firstLineChars="0"/>
              <w:jc w:val="left"/>
              <w:rPr>
                <w:rFonts w:ascii="宋体" w:hAnsi="宋体" w:eastAsia="宋体" w:cs="宋体"/>
                <w:sz w:val="24"/>
                <w:szCs w:val="24"/>
                <w:lang w:val="zh-TW" w:eastAsia="zh-TW"/>
              </w:rPr>
            </w:pPr>
            <w:r>
              <w:rPr>
                <w:rFonts w:hint="eastAsia" w:ascii="宋体" w:hAnsi="宋体" w:eastAsia="宋体" w:cs="宋体"/>
                <w:sz w:val="24"/>
                <w:szCs w:val="24"/>
                <w:lang w:val="zh-TW" w:eastAsia="zh-TW"/>
              </w:rPr>
              <w:t>支持临床医生对疑似病例处置后，院感科专职人员二次审核确认临床操作结果。</w:t>
            </w:r>
          </w:p>
          <w:p w14:paraId="03B71EC8">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对疑似感染病例的预警来源维度分类展示，包括：病历、检验、体温、影像、抗菌药物使用情况，方便专职人员查阅；</w:t>
            </w:r>
          </w:p>
          <w:p w14:paraId="2324815A">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对疑似感染病例的预警来源直观展示，包括：诊断感染依据、原文内容、出现时间段；</w:t>
            </w:r>
          </w:p>
          <w:p w14:paraId="4A8310FE">
            <w:pPr>
              <w:pStyle w:val="11"/>
              <w:widowControl/>
              <w:numPr>
                <w:ilvl w:val="0"/>
                <w:numId w:val="3"/>
              </w:numPr>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支持对病历中感染因素进行颜色标记，以便专职人员能够直观</w:t>
            </w:r>
            <w:r>
              <w:rPr>
                <w:rFonts w:hint="eastAsia" w:ascii="宋体" w:hAnsi="宋体" w:eastAsia="宋体" w:cs="宋体"/>
                <w:sz w:val="24"/>
                <w:szCs w:val="24"/>
                <w:lang w:val="zh-TW"/>
              </w:rPr>
              <w:t>追溯病历重要内容；</w:t>
            </w:r>
          </w:p>
          <w:p w14:paraId="212FBC10">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支持对患者病例</w:t>
            </w:r>
            <w:r>
              <w:rPr>
                <w:rFonts w:hint="eastAsia" w:ascii="宋体" w:hAnsi="宋体" w:eastAsia="宋体" w:cs="宋体"/>
                <w:sz w:val="24"/>
                <w:szCs w:val="24"/>
                <w:lang w:val="zh-TW"/>
              </w:rPr>
              <w:t>重点</w:t>
            </w:r>
            <w:r>
              <w:rPr>
                <w:rFonts w:hint="eastAsia" w:ascii="宋体" w:hAnsi="宋体" w:eastAsia="宋体" w:cs="宋体"/>
                <w:sz w:val="24"/>
                <w:szCs w:val="24"/>
                <w:lang w:val="zh-TW" w:eastAsia="zh-TW"/>
              </w:rPr>
              <w:t>关注操作，同时以</w:t>
            </w:r>
            <w:r>
              <w:rPr>
                <w:rFonts w:hint="eastAsia" w:ascii="宋体" w:hAnsi="宋体" w:eastAsia="宋体" w:cs="宋体"/>
                <w:sz w:val="24"/>
                <w:szCs w:val="24"/>
                <w:lang w:val="zh-TW"/>
              </w:rPr>
              <w:t>角标</w:t>
            </w:r>
            <w:r>
              <w:rPr>
                <w:rFonts w:hint="eastAsia" w:ascii="宋体" w:hAnsi="宋体" w:eastAsia="宋体" w:cs="宋体"/>
                <w:sz w:val="24"/>
                <w:szCs w:val="24"/>
                <w:lang w:val="zh-TW" w:eastAsia="zh-TW"/>
              </w:rPr>
              <w:t>标记患者诊疗卡片，方便用户直观看到是否为关注患者</w:t>
            </w:r>
            <w:r>
              <w:rPr>
                <w:rFonts w:hint="eastAsia" w:ascii="宋体" w:hAnsi="宋体" w:eastAsia="宋体" w:cs="宋体"/>
                <w:sz w:val="24"/>
                <w:szCs w:val="24"/>
                <w:lang w:val="zh-TW"/>
              </w:rPr>
              <w:t>，进行后续跟踪</w:t>
            </w:r>
            <w:r>
              <w:rPr>
                <w:rFonts w:hint="eastAsia" w:ascii="宋体" w:hAnsi="宋体" w:eastAsia="宋体" w:cs="宋体"/>
                <w:sz w:val="24"/>
                <w:szCs w:val="24"/>
                <w:lang w:val="zh-TW" w:eastAsia="zh-TW"/>
              </w:rPr>
              <w:t>；</w:t>
            </w:r>
          </w:p>
          <w:p w14:paraId="3F4E78D8">
            <w:pPr>
              <w:pStyle w:val="11"/>
              <w:widowControl/>
              <w:numPr>
                <w:ilvl w:val="0"/>
                <w:numId w:val="3"/>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支持对患者的疑似感染进行干预到临床操作处理，临床医生接收干预消息后，可对患者进行疑似感染病主动确认或排除操作；</w:t>
            </w:r>
          </w:p>
          <w:p w14:paraId="407ED7CD">
            <w:pPr>
              <w:pStyle w:val="11"/>
              <w:widowControl/>
              <w:numPr>
                <w:ilvl w:val="0"/>
                <w:numId w:val="3"/>
              </w:numPr>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支持对患者的疑似感染进行感染病例代报。</w:t>
            </w:r>
          </w:p>
        </w:tc>
      </w:tr>
      <w:tr w14:paraId="768725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2CAF8">
            <w:pPr>
              <w:widowControl/>
              <w:jc w:val="center"/>
              <w:rPr>
                <w:rFonts w:ascii="宋体" w:hAnsi="宋体" w:eastAsia="宋体" w:cs="宋体"/>
                <w:sz w:val="24"/>
                <w:szCs w:val="24"/>
              </w:rPr>
            </w:pPr>
            <w:r>
              <w:rPr>
                <w:rFonts w:hint="eastAsia" w:ascii="宋体" w:hAnsi="宋体" w:eastAsia="宋体" w:cs="宋体"/>
                <w:sz w:val="24"/>
                <w:szCs w:val="24"/>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51596B">
            <w:pPr>
              <w:widowControl/>
              <w:jc w:val="center"/>
              <w:rPr>
                <w:rFonts w:ascii="宋体" w:hAnsi="宋体" w:eastAsia="宋体" w:cs="宋体"/>
                <w:sz w:val="24"/>
                <w:szCs w:val="24"/>
              </w:rPr>
            </w:pPr>
            <w:r>
              <w:rPr>
                <w:rFonts w:hint="eastAsia" w:ascii="宋体" w:hAnsi="宋体" w:eastAsia="宋体" w:cs="宋体"/>
                <w:sz w:val="24"/>
                <w:szCs w:val="24"/>
                <w:lang w:val="zh-TW" w:eastAsia="zh-TW"/>
              </w:rPr>
              <w:t>暴发预警</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DE04917">
            <w:pPr>
              <w:pStyle w:val="11"/>
              <w:widowControl/>
              <w:numPr>
                <w:ilvl w:val="0"/>
                <w:numId w:val="4"/>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以事件形式展示疑似暴发概况；</w:t>
            </w:r>
          </w:p>
          <w:p w14:paraId="2060F4CA">
            <w:pPr>
              <w:pStyle w:val="11"/>
              <w:widowControl/>
              <w:numPr>
                <w:ilvl w:val="0"/>
                <w:numId w:val="4"/>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支持暴发预警提示在首页监测面板显著提示，对未处理的暴发预警始终显示；</w:t>
            </w:r>
          </w:p>
          <w:p w14:paraId="429B9F8E">
            <w:pPr>
              <w:pStyle w:val="11"/>
              <w:widowControl/>
              <w:numPr>
                <w:ilvl w:val="0"/>
                <w:numId w:val="4"/>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监测项目包括：发热、腹泻、大便常规、血培养、相同耐药谱、感染部位、病原体、痰培养；</w:t>
            </w:r>
          </w:p>
          <w:p w14:paraId="6744F0F0">
            <w:pPr>
              <w:pStyle w:val="11"/>
              <w:widowControl/>
              <w:numPr>
                <w:ilvl w:val="0"/>
                <w:numId w:val="4"/>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支持对监测项目的关注程度进行自定义调整，包括重点关注、一般关注；</w:t>
            </w:r>
          </w:p>
          <w:p w14:paraId="5ADC05AC">
            <w:pPr>
              <w:pStyle w:val="11"/>
              <w:widowControl/>
              <w:numPr>
                <w:ilvl w:val="0"/>
                <w:numId w:val="4"/>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支持对查询结果内容穿透查看具体明细，如血培养疑似暴发的送检项目、送检时间可直接展示查看，减少打开页面次数；</w:t>
            </w:r>
          </w:p>
          <w:p w14:paraId="45D27332">
            <w:pPr>
              <w:pStyle w:val="11"/>
              <w:widowControl/>
              <w:numPr>
                <w:ilvl w:val="0"/>
                <w:numId w:val="4"/>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支持对疑似暴发的审核操作，包括确认暴发、排除暴发、备注事件、干预；</w:t>
            </w:r>
          </w:p>
          <w:p w14:paraId="359A2B98">
            <w:pPr>
              <w:pStyle w:val="11"/>
              <w:widowControl/>
              <w:numPr>
                <w:ilvl w:val="0"/>
                <w:numId w:val="4"/>
              </w:numPr>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支持对审核后的疑似暴发事件查看审核人、审核时间、备注内容；</w:t>
            </w:r>
          </w:p>
        </w:tc>
      </w:tr>
      <w:tr w14:paraId="59DCEC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AF1F4B">
            <w:pPr>
              <w:widowControl/>
              <w:jc w:val="center"/>
              <w:rPr>
                <w:rFonts w:ascii="宋体" w:hAnsi="宋体" w:eastAsia="宋体" w:cs="宋体"/>
                <w:sz w:val="24"/>
                <w:szCs w:val="24"/>
              </w:rPr>
            </w:pPr>
            <w:r>
              <w:rPr>
                <w:rFonts w:hint="eastAsia" w:ascii="宋体" w:hAnsi="宋体" w:eastAsia="宋体" w:cs="宋体"/>
                <w:sz w:val="24"/>
                <w:szCs w:val="24"/>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040C3">
            <w:pPr>
              <w:widowControl/>
              <w:jc w:val="center"/>
              <w:rPr>
                <w:rFonts w:ascii="宋体" w:hAnsi="宋体" w:eastAsia="宋体" w:cs="宋体"/>
                <w:sz w:val="24"/>
                <w:szCs w:val="24"/>
              </w:rPr>
            </w:pPr>
            <w:r>
              <w:rPr>
                <w:rFonts w:hint="eastAsia" w:ascii="宋体" w:hAnsi="宋体" w:eastAsia="宋体" w:cs="宋体"/>
                <w:sz w:val="24"/>
                <w:szCs w:val="24"/>
              </w:rPr>
              <w:t>风险分析</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D13B61">
            <w:pPr>
              <w:pStyle w:val="11"/>
              <w:widowControl/>
              <w:numPr>
                <w:ilvl w:val="0"/>
                <w:numId w:val="5"/>
              </w:numPr>
              <w:ind w:firstLineChars="0"/>
              <w:jc w:val="left"/>
              <w:rPr>
                <w:rFonts w:ascii="宋体" w:hAnsi="宋体" w:eastAsia="宋体" w:cs="宋体"/>
                <w:sz w:val="24"/>
                <w:szCs w:val="24"/>
              </w:rPr>
            </w:pPr>
            <w:r>
              <w:rPr>
                <w:rFonts w:hint="eastAsia" w:ascii="宋体" w:hAnsi="宋体" w:eastAsia="宋体" w:cs="宋体"/>
                <w:sz w:val="24"/>
                <w:szCs w:val="24"/>
              </w:rPr>
              <w:t>系统自带风险分析体系，根据患者的全方位易感因素，判定患者的感染风险值，预警出科室的高风险感染患者</w:t>
            </w:r>
          </w:p>
          <w:p w14:paraId="70DFB71A">
            <w:pPr>
              <w:pStyle w:val="11"/>
              <w:widowControl/>
              <w:numPr>
                <w:ilvl w:val="0"/>
                <w:numId w:val="5"/>
              </w:numPr>
              <w:ind w:firstLineChars="0"/>
              <w:jc w:val="left"/>
              <w:rPr>
                <w:rFonts w:ascii="宋体" w:hAnsi="宋体" w:eastAsia="宋体" w:cs="宋体"/>
                <w:sz w:val="24"/>
                <w:szCs w:val="24"/>
              </w:rPr>
            </w:pPr>
            <w:r>
              <w:rPr>
                <w:rFonts w:hint="eastAsia" w:ascii="宋体" w:hAnsi="宋体" w:eastAsia="宋体" w:cs="宋体"/>
                <w:sz w:val="24"/>
                <w:szCs w:val="24"/>
              </w:rPr>
              <w:t>根据时间线刻录高风险患者患者的感染风险点，系统自动提醒临床，进行风险环节的提前干预，智能的根据不同类型的风险因素发送针对性的干预形式（评估表、SOP、防控措施落实表等）和干预内容从源头上降低医院感染发生率</w:t>
            </w:r>
          </w:p>
          <w:p w14:paraId="5180497E">
            <w:pPr>
              <w:pStyle w:val="11"/>
              <w:widowControl/>
              <w:numPr>
                <w:ilvl w:val="0"/>
                <w:numId w:val="5"/>
              </w:numPr>
              <w:ind w:firstLineChars="0"/>
              <w:jc w:val="left"/>
              <w:rPr>
                <w:rFonts w:ascii="宋体" w:hAnsi="宋体" w:eastAsia="宋体" w:cs="宋体"/>
                <w:sz w:val="24"/>
                <w:szCs w:val="24"/>
              </w:rPr>
            </w:pPr>
            <w:r>
              <w:rPr>
                <w:rFonts w:hint="eastAsia" w:ascii="宋体" w:hAnsi="宋体" w:eastAsia="宋体" w:cs="宋体"/>
                <w:sz w:val="24"/>
                <w:szCs w:val="24"/>
              </w:rPr>
              <w:t>干预结果同步至院感专职人员，如果临床未及时处理，专职人员可利用系统进行人工干预</w:t>
            </w:r>
          </w:p>
          <w:p w14:paraId="41905A17">
            <w:pPr>
              <w:pStyle w:val="11"/>
              <w:widowControl/>
              <w:numPr>
                <w:ilvl w:val="0"/>
                <w:numId w:val="5"/>
              </w:numPr>
              <w:ind w:firstLineChars="0"/>
              <w:jc w:val="left"/>
              <w:rPr>
                <w:rFonts w:ascii="宋体" w:hAnsi="宋体" w:eastAsia="宋体" w:cs="宋体"/>
                <w:sz w:val="24"/>
                <w:szCs w:val="24"/>
              </w:rPr>
            </w:pPr>
            <w:r>
              <w:rPr>
                <w:rFonts w:hint="eastAsia" w:ascii="宋体" w:hAnsi="宋体" w:eastAsia="宋体" w:cs="宋体"/>
                <w:sz w:val="24"/>
                <w:szCs w:val="24"/>
              </w:rPr>
              <w:t>针对高风险感染患者的感染风险点，用户可在页面上查看干预记录列表、干预详情、风险评估表，全面的掌握患者的风险点干预情况；且可直接点击进行PDCA循环质量管理，涉及问题记录、原因分析、考核结果等环节，帮助用户有针对性的、持续的改进临床医疗质量</w:t>
            </w:r>
          </w:p>
        </w:tc>
      </w:tr>
      <w:tr w14:paraId="179EF4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2D3F9">
            <w:pPr>
              <w:widowControl/>
              <w:jc w:val="center"/>
              <w:rPr>
                <w:rFonts w:ascii="宋体" w:hAnsi="宋体" w:eastAsia="宋体" w:cs="宋体"/>
                <w:sz w:val="24"/>
                <w:szCs w:val="24"/>
              </w:rPr>
            </w:pPr>
            <w:r>
              <w:rPr>
                <w:rFonts w:hint="eastAsia" w:ascii="宋体" w:hAnsi="宋体" w:eastAsia="宋体" w:cs="宋体"/>
                <w:sz w:val="24"/>
                <w:szCs w:val="24"/>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3AAB9B">
            <w:pPr>
              <w:jc w:val="center"/>
              <w:rPr>
                <w:rFonts w:ascii="宋体" w:hAnsi="宋体" w:eastAsia="宋体" w:cs="宋体"/>
                <w:sz w:val="24"/>
                <w:szCs w:val="24"/>
              </w:rPr>
            </w:pPr>
            <w:r>
              <w:rPr>
                <w:rFonts w:hint="eastAsia" w:ascii="宋体" w:hAnsi="宋体" w:eastAsia="宋体" w:cs="宋体"/>
                <w:sz w:val="24"/>
                <w:szCs w:val="24"/>
              </w:rPr>
              <w:t>床位风险分布</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D64356">
            <w:pPr>
              <w:pStyle w:val="11"/>
              <w:widowControl/>
              <w:numPr>
                <w:ilvl w:val="0"/>
                <w:numId w:val="6"/>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通过图形展示科室病房的床位分布与布局，更加直观</w:t>
            </w:r>
            <w:r>
              <w:rPr>
                <w:rFonts w:hint="eastAsia" w:ascii="宋体" w:hAnsi="宋体" w:eastAsia="宋体" w:cs="宋体"/>
                <w:sz w:val="24"/>
                <w:szCs w:val="24"/>
              </w:rPr>
              <w:t>的查看每个房间、每个床位患者的分布情况，直观的了解患者风险因素（如是否感染、疑似院感、是否使用抗菌药物、是否有检出细菌，是否体温异常、是否检出病毒等）</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方便的掌握本科是否存在聚集性事件情况，有效辅助感控专职人员进行研判；</w:t>
            </w:r>
          </w:p>
          <w:p w14:paraId="6EE1EE8A">
            <w:pPr>
              <w:pStyle w:val="11"/>
              <w:widowControl/>
              <w:numPr>
                <w:ilvl w:val="0"/>
                <w:numId w:val="6"/>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科室病房可由临床</w:t>
            </w:r>
            <w:r>
              <w:rPr>
                <w:rFonts w:hint="eastAsia" w:ascii="宋体" w:hAnsi="宋体" w:eastAsia="宋体" w:cs="宋体"/>
                <w:sz w:val="24"/>
                <w:szCs w:val="24"/>
                <w:lang w:val="zh-TW"/>
              </w:rPr>
              <w:t>科室自行进行病房数量新增、删除、名称修改，更加符合科室现有病房名称命名，支持ICU模式病房设置；</w:t>
            </w:r>
          </w:p>
          <w:p w14:paraId="6C891C17">
            <w:pPr>
              <w:pStyle w:val="11"/>
              <w:widowControl/>
              <w:numPr>
                <w:ilvl w:val="0"/>
                <w:numId w:val="6"/>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病房中床位可由临床</w:t>
            </w:r>
            <w:r>
              <w:rPr>
                <w:rFonts w:hint="eastAsia" w:ascii="宋体" w:hAnsi="宋体" w:eastAsia="宋体" w:cs="宋体"/>
                <w:sz w:val="24"/>
                <w:szCs w:val="24"/>
                <w:lang w:val="zh-TW"/>
              </w:rPr>
              <w:t>客户数自行进行床位数量新增、删除、名称修改，更加符合病房中病床命名，同时支持走廊加床的新增；</w:t>
            </w:r>
          </w:p>
          <w:p w14:paraId="63079737">
            <w:pPr>
              <w:pStyle w:val="11"/>
              <w:widowControl/>
              <w:numPr>
                <w:ilvl w:val="0"/>
                <w:numId w:val="6"/>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支持患者随床位</w:t>
            </w:r>
            <w:r>
              <w:rPr>
                <w:rFonts w:hint="eastAsia" w:ascii="宋体" w:hAnsi="宋体" w:eastAsia="宋体" w:cs="宋体"/>
                <w:sz w:val="24"/>
                <w:szCs w:val="24"/>
                <w:lang w:val="zh-TW"/>
              </w:rPr>
              <w:t>号进行分配与排列，并且展示患者当前存在的风险情况；</w:t>
            </w:r>
          </w:p>
          <w:p w14:paraId="3540F25F">
            <w:pPr>
              <w:pStyle w:val="11"/>
              <w:widowControl/>
              <w:numPr>
                <w:ilvl w:val="0"/>
                <w:numId w:val="6"/>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以不同图形展示患者正在经历</w:t>
            </w:r>
            <w:r>
              <w:rPr>
                <w:rFonts w:hint="eastAsia" w:ascii="宋体" w:hAnsi="宋体" w:eastAsia="宋体" w:cs="宋体"/>
                <w:sz w:val="24"/>
                <w:szCs w:val="24"/>
                <w:lang w:val="zh-TW"/>
              </w:rPr>
              <w:t>及历史</w:t>
            </w:r>
            <w:r>
              <w:rPr>
                <w:rFonts w:hint="eastAsia" w:ascii="宋体" w:hAnsi="宋体" w:eastAsia="宋体" w:cs="宋体"/>
                <w:sz w:val="24"/>
                <w:szCs w:val="24"/>
                <w:lang w:val="zh-TW" w:eastAsia="zh-TW"/>
              </w:rPr>
              <w:t>风险情况，包括：本次住院已确认感染、正在</w:t>
            </w:r>
            <w:r>
              <w:rPr>
                <w:rFonts w:hint="eastAsia" w:ascii="宋体" w:hAnsi="宋体" w:eastAsia="宋体" w:cs="宋体"/>
                <w:sz w:val="24"/>
                <w:szCs w:val="24"/>
                <w:lang w:val="zh-TW"/>
              </w:rPr>
              <w:t>使用三大插管、检出多重耐药菌、近三天发热（超过38℃）</w:t>
            </w:r>
          </w:p>
        </w:tc>
      </w:tr>
      <w:tr w14:paraId="3660CA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9"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FC26A">
            <w:pPr>
              <w:widowControl/>
              <w:jc w:val="center"/>
              <w:rPr>
                <w:rFonts w:ascii="宋体" w:hAnsi="宋体" w:eastAsia="宋体" w:cs="宋体"/>
                <w:sz w:val="24"/>
                <w:szCs w:val="24"/>
              </w:rPr>
            </w:pPr>
            <w:r>
              <w:rPr>
                <w:rFonts w:hint="eastAsia" w:ascii="宋体" w:hAnsi="宋体" w:eastAsia="宋体" w:cs="宋体"/>
                <w:sz w:val="24"/>
                <w:szCs w:val="24"/>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2287D">
            <w:pPr>
              <w:widowControl/>
              <w:jc w:val="center"/>
              <w:rPr>
                <w:rFonts w:ascii="宋体" w:hAnsi="宋体" w:eastAsia="宋体" w:cs="宋体"/>
                <w:sz w:val="24"/>
                <w:szCs w:val="24"/>
              </w:rPr>
            </w:pPr>
            <w:r>
              <w:rPr>
                <w:rFonts w:hint="eastAsia" w:ascii="宋体" w:hAnsi="宋体" w:eastAsia="宋体" w:cs="宋体"/>
                <w:sz w:val="24"/>
                <w:szCs w:val="24"/>
                <w:lang w:val="zh-TW" w:eastAsia="zh-TW"/>
              </w:rPr>
              <w:t>监测面板</w:t>
            </w:r>
          </w:p>
          <w:p w14:paraId="0787FDEF">
            <w:pPr>
              <w:widowControl/>
              <w:rPr>
                <w:rFonts w:ascii="宋体" w:hAnsi="宋体" w:eastAsia="宋体" w:cs="宋体"/>
                <w:sz w:val="24"/>
                <w:szCs w:val="24"/>
              </w:rPr>
            </w:pP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72567FC">
            <w:pPr>
              <w:pStyle w:val="11"/>
              <w:numPr>
                <w:ilvl w:val="0"/>
                <w:numId w:val="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提供友好的用户交互界面，能够集中展示全院概况、待处理事宜、重点指标监测；</w:t>
            </w:r>
          </w:p>
          <w:p w14:paraId="4112DDD4">
            <w:pPr>
              <w:pStyle w:val="11"/>
              <w:numPr>
                <w:ilvl w:val="0"/>
                <w:numId w:val="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全院概况，能够支持用户查看及穿透至对应页面，全院概况内容包括：在院患者人数、体温异常人数（体温</w:t>
            </w:r>
            <w:r>
              <w:rPr>
                <w:rFonts w:hint="eastAsia" w:ascii="宋体" w:hAnsi="宋体" w:eastAsia="宋体" w:cs="宋体"/>
                <w:sz w:val="24"/>
                <w:szCs w:val="24"/>
              </w:rPr>
              <w:t>≥38℃</w:t>
            </w:r>
            <w:r>
              <w:rPr>
                <w:rFonts w:hint="eastAsia" w:ascii="宋体" w:hAnsi="宋体" w:eastAsia="宋体" w:cs="宋体"/>
                <w:sz w:val="24"/>
                <w:szCs w:val="24"/>
                <w:lang w:val="zh-TW" w:eastAsia="zh-TW"/>
              </w:rPr>
              <w:t>）、三大插管人数、</w:t>
            </w:r>
            <w:r>
              <w:rPr>
                <w:rFonts w:hint="eastAsia" w:ascii="宋体" w:hAnsi="宋体" w:eastAsia="宋体" w:cs="宋体"/>
                <w:sz w:val="24"/>
                <w:szCs w:val="24"/>
                <w:lang w:val="zh-TW"/>
              </w:rPr>
              <w:t>M</w:t>
            </w:r>
            <w:r>
              <w:rPr>
                <w:rFonts w:hint="eastAsia" w:ascii="宋体" w:hAnsi="宋体" w:eastAsia="宋体" w:cs="宋体"/>
                <w:sz w:val="24"/>
                <w:szCs w:val="24"/>
                <w:lang w:val="zh-TW" w:eastAsia="zh-TW"/>
              </w:rPr>
              <w:t>DRO检出人数，重点菌检出人数；</w:t>
            </w:r>
          </w:p>
          <w:p w14:paraId="0BD4D919">
            <w:pPr>
              <w:pStyle w:val="11"/>
              <w:numPr>
                <w:ilvl w:val="0"/>
                <w:numId w:val="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待办事宜，能够对</w:t>
            </w:r>
            <w:r>
              <w:rPr>
                <w:rFonts w:hint="eastAsia" w:ascii="宋体" w:hAnsi="宋体" w:eastAsia="宋体" w:cs="宋体"/>
                <w:sz w:val="24"/>
                <w:szCs w:val="24"/>
              </w:rPr>
              <w:t>1</w:t>
            </w:r>
            <w:r>
              <w:rPr>
                <w:rFonts w:hint="eastAsia" w:ascii="宋体" w:hAnsi="宋体" w:eastAsia="宋体" w:cs="宋体"/>
                <w:sz w:val="24"/>
                <w:szCs w:val="24"/>
                <w:lang w:val="zh-TW" w:eastAsia="zh-TW"/>
              </w:rPr>
              <w:t>个月内未处理的内容总数展示及穿透相应功能进行业务处理，待办事宜内容包括：暴发预警、感染预警、感染报卡、暴露上报，暴露复查，插管未评估，证照过期；</w:t>
            </w:r>
          </w:p>
          <w:p w14:paraId="7F9947B4">
            <w:pPr>
              <w:pStyle w:val="11"/>
              <w:numPr>
                <w:ilvl w:val="0"/>
                <w:numId w:val="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重点指标监测，能够对重点的指标进行监测及穿透查询相应统计分析，包括：感染部位构成（年度）、送检标本构成（年度）、检出重点菌构成（年度）、检出重点菌构成（年度）、职业暴露人员构成（年度）、全院发热患者趋势（近</w:t>
            </w:r>
            <w:r>
              <w:rPr>
                <w:rFonts w:hint="eastAsia" w:ascii="宋体" w:hAnsi="宋体" w:eastAsia="宋体" w:cs="宋体"/>
                <w:sz w:val="24"/>
                <w:szCs w:val="24"/>
              </w:rPr>
              <w:t>7</w:t>
            </w:r>
            <w:r>
              <w:rPr>
                <w:rFonts w:hint="eastAsia" w:ascii="宋体" w:hAnsi="宋体" w:eastAsia="宋体" w:cs="宋体"/>
                <w:sz w:val="24"/>
                <w:szCs w:val="24"/>
                <w:lang w:val="zh-TW" w:eastAsia="zh-TW"/>
              </w:rPr>
              <w:t>天</w:t>
            </w:r>
            <w:r>
              <w:rPr>
                <w:rFonts w:hint="eastAsia" w:ascii="宋体" w:hAnsi="宋体" w:eastAsia="宋体" w:cs="宋体"/>
                <w:sz w:val="24"/>
                <w:szCs w:val="24"/>
                <w:lang w:val="zh-TW"/>
              </w:rPr>
              <w:t>、近30天</w:t>
            </w:r>
            <w:r>
              <w:rPr>
                <w:rFonts w:hint="eastAsia" w:ascii="宋体" w:hAnsi="宋体" w:eastAsia="宋体" w:cs="宋体"/>
                <w:sz w:val="24"/>
                <w:szCs w:val="24"/>
                <w:lang w:val="zh-TW" w:eastAsia="zh-TW"/>
              </w:rPr>
              <w:t>）、</w:t>
            </w:r>
            <w:r>
              <w:rPr>
                <w:rFonts w:hint="eastAsia" w:ascii="宋体" w:hAnsi="宋体" w:eastAsia="宋体" w:cs="宋体"/>
                <w:sz w:val="24"/>
                <w:szCs w:val="24"/>
              </w:rPr>
              <w:t>MRSA</w:t>
            </w:r>
            <w:r>
              <w:rPr>
                <w:rFonts w:hint="eastAsia" w:ascii="宋体" w:hAnsi="宋体" w:eastAsia="宋体" w:cs="宋体"/>
                <w:sz w:val="24"/>
                <w:szCs w:val="24"/>
                <w:lang w:val="zh-TW" w:eastAsia="zh-TW"/>
              </w:rPr>
              <w:t>相关血流感染（近</w:t>
            </w:r>
            <w:r>
              <w:rPr>
                <w:rFonts w:hint="eastAsia" w:ascii="宋体" w:hAnsi="宋体" w:eastAsia="宋体" w:cs="宋体"/>
                <w:sz w:val="24"/>
                <w:szCs w:val="24"/>
              </w:rPr>
              <w:t>7</w:t>
            </w:r>
            <w:r>
              <w:rPr>
                <w:rFonts w:hint="eastAsia" w:ascii="宋体" w:hAnsi="宋体" w:eastAsia="宋体" w:cs="宋体"/>
                <w:sz w:val="24"/>
                <w:szCs w:val="24"/>
                <w:lang w:val="zh-TW" w:eastAsia="zh-TW"/>
              </w:rPr>
              <w:t>天</w:t>
            </w:r>
            <w:r>
              <w:rPr>
                <w:rFonts w:hint="eastAsia" w:ascii="宋体" w:hAnsi="宋体" w:eastAsia="宋体" w:cs="宋体"/>
                <w:sz w:val="24"/>
                <w:szCs w:val="24"/>
                <w:lang w:val="zh-TW"/>
              </w:rPr>
              <w:t>、近30天、近一年、近五年</w:t>
            </w:r>
            <w:r>
              <w:rPr>
                <w:rFonts w:hint="eastAsia" w:ascii="宋体" w:hAnsi="宋体" w:eastAsia="宋体" w:cs="宋体"/>
                <w:sz w:val="24"/>
                <w:szCs w:val="24"/>
                <w:lang w:val="zh-TW" w:eastAsia="zh-TW"/>
              </w:rPr>
              <w:t>）、多重耐药菌检出率趋势（近</w:t>
            </w:r>
            <w:r>
              <w:rPr>
                <w:rFonts w:hint="eastAsia" w:ascii="宋体" w:hAnsi="宋体" w:eastAsia="宋体" w:cs="宋体"/>
                <w:sz w:val="24"/>
                <w:szCs w:val="24"/>
              </w:rPr>
              <w:t>7</w:t>
            </w:r>
            <w:r>
              <w:rPr>
                <w:rFonts w:hint="eastAsia" w:ascii="宋体" w:hAnsi="宋体" w:eastAsia="宋体" w:cs="宋体"/>
                <w:sz w:val="24"/>
                <w:szCs w:val="24"/>
                <w:lang w:val="zh-TW" w:eastAsia="zh-TW"/>
              </w:rPr>
              <w:t>天</w:t>
            </w:r>
            <w:r>
              <w:rPr>
                <w:rFonts w:hint="eastAsia" w:ascii="宋体" w:hAnsi="宋体" w:eastAsia="宋体" w:cs="宋体"/>
                <w:sz w:val="24"/>
                <w:szCs w:val="24"/>
                <w:lang w:val="zh-TW"/>
              </w:rPr>
              <w:t>、近30天、近一年、近五年</w:t>
            </w:r>
            <w:r>
              <w:rPr>
                <w:rFonts w:hint="eastAsia" w:ascii="宋体" w:hAnsi="宋体" w:eastAsia="宋体" w:cs="宋体"/>
                <w:sz w:val="24"/>
                <w:szCs w:val="24"/>
                <w:lang w:val="zh-TW" w:eastAsia="zh-TW"/>
              </w:rPr>
              <w:t>）、发病率趋势（近</w:t>
            </w:r>
            <w:r>
              <w:rPr>
                <w:rFonts w:hint="eastAsia" w:ascii="宋体" w:hAnsi="宋体" w:eastAsia="宋体" w:cs="宋体"/>
                <w:sz w:val="24"/>
                <w:szCs w:val="24"/>
              </w:rPr>
              <w:t>12</w:t>
            </w:r>
            <w:r>
              <w:rPr>
                <w:rFonts w:hint="eastAsia" w:ascii="宋体" w:hAnsi="宋体" w:eastAsia="宋体" w:cs="宋体"/>
                <w:sz w:val="24"/>
                <w:szCs w:val="24"/>
                <w:lang w:val="zh-TW" w:eastAsia="zh-TW"/>
              </w:rPr>
              <w:t>个月</w:t>
            </w:r>
            <w:r>
              <w:rPr>
                <w:rFonts w:hint="eastAsia" w:ascii="宋体" w:hAnsi="宋体" w:eastAsia="宋体" w:cs="宋体"/>
                <w:sz w:val="24"/>
                <w:szCs w:val="24"/>
                <w:lang w:val="zh-TW"/>
              </w:rPr>
              <w:t>、近五年</w:t>
            </w:r>
            <w:r>
              <w:rPr>
                <w:rFonts w:hint="eastAsia" w:ascii="宋体" w:hAnsi="宋体" w:eastAsia="宋体" w:cs="宋体"/>
                <w:sz w:val="24"/>
                <w:szCs w:val="24"/>
                <w:lang w:val="zh-TW" w:eastAsia="zh-TW"/>
              </w:rPr>
              <w:t>）。</w:t>
            </w:r>
          </w:p>
        </w:tc>
      </w:tr>
      <w:tr w14:paraId="5B8FC6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9"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022EF">
            <w:pPr>
              <w:widowControl/>
              <w:jc w:val="center"/>
              <w:rPr>
                <w:rFonts w:ascii="宋体" w:hAnsi="宋体" w:eastAsia="宋体" w:cs="宋体"/>
                <w:sz w:val="24"/>
                <w:szCs w:val="24"/>
              </w:rPr>
            </w:pPr>
            <w:r>
              <w:rPr>
                <w:rFonts w:hint="eastAsia" w:ascii="宋体" w:hAnsi="宋体" w:eastAsia="宋体" w:cs="宋体"/>
                <w:sz w:val="24"/>
                <w:szCs w:val="24"/>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88F9CC">
            <w:pPr>
              <w:widowControl/>
              <w:jc w:val="center"/>
              <w:rPr>
                <w:rFonts w:ascii="宋体" w:hAnsi="宋体" w:eastAsia="宋体" w:cs="宋体"/>
                <w:sz w:val="24"/>
                <w:szCs w:val="24"/>
              </w:rPr>
            </w:pPr>
            <w:r>
              <w:rPr>
                <w:rFonts w:hint="eastAsia" w:ascii="宋体" w:hAnsi="宋体" w:eastAsia="宋体" w:cs="宋体"/>
                <w:sz w:val="24"/>
                <w:szCs w:val="24"/>
              </w:rPr>
              <w:t>PDCA</w:t>
            </w:r>
            <w:r>
              <w:rPr>
                <w:rFonts w:hint="eastAsia" w:ascii="宋体" w:hAnsi="宋体" w:eastAsia="宋体" w:cs="宋体"/>
                <w:sz w:val="24"/>
                <w:szCs w:val="24"/>
                <w:lang w:val="zh-TW" w:eastAsia="zh-TW"/>
              </w:rPr>
              <w:t>持续改进</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6E3F22F">
            <w:pPr>
              <w:pStyle w:val="11"/>
              <w:numPr>
                <w:ilvl w:val="0"/>
                <w:numId w:val="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支持建立全院的</w:t>
            </w:r>
            <w:r>
              <w:rPr>
                <w:rFonts w:hint="eastAsia" w:ascii="宋体" w:hAnsi="宋体" w:eastAsia="宋体" w:cs="宋体"/>
                <w:sz w:val="24"/>
                <w:szCs w:val="24"/>
              </w:rPr>
              <w:t>PDCA</w:t>
            </w:r>
            <w:r>
              <w:rPr>
                <w:rFonts w:hint="eastAsia" w:ascii="宋体" w:hAnsi="宋体" w:eastAsia="宋体" w:cs="宋体"/>
                <w:sz w:val="24"/>
                <w:szCs w:val="24"/>
                <w:lang w:val="zh-TW" w:eastAsia="zh-TW"/>
              </w:rPr>
              <w:t>持续改进机制，能够有效地根据发现问题进行项目</w:t>
            </w:r>
            <w:r>
              <w:rPr>
                <w:rFonts w:hint="eastAsia" w:ascii="宋体" w:hAnsi="宋体" w:eastAsia="宋体" w:cs="宋体"/>
                <w:sz w:val="24"/>
                <w:szCs w:val="24"/>
              </w:rPr>
              <w:t>PDCA</w:t>
            </w:r>
            <w:r>
              <w:rPr>
                <w:rFonts w:hint="eastAsia" w:ascii="宋体" w:hAnsi="宋体" w:eastAsia="宋体" w:cs="宋体"/>
                <w:sz w:val="24"/>
                <w:szCs w:val="24"/>
                <w:lang w:val="zh-TW" w:eastAsia="zh-TW"/>
              </w:rPr>
              <w:t>；</w:t>
            </w:r>
          </w:p>
          <w:p w14:paraId="11CEBE35">
            <w:pPr>
              <w:pStyle w:val="11"/>
              <w:numPr>
                <w:ilvl w:val="0"/>
                <w:numId w:val="8"/>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能够支持感控专职人员维护</w:t>
            </w:r>
            <w:r>
              <w:rPr>
                <w:rFonts w:hint="eastAsia" w:ascii="宋体" w:hAnsi="宋体" w:eastAsia="宋体" w:cs="宋体"/>
                <w:sz w:val="24"/>
                <w:szCs w:val="24"/>
              </w:rPr>
              <w:t>PDCA</w:t>
            </w:r>
            <w:r>
              <w:rPr>
                <w:rFonts w:hint="eastAsia" w:ascii="宋体" w:hAnsi="宋体" w:eastAsia="宋体" w:cs="宋体"/>
                <w:sz w:val="24"/>
                <w:szCs w:val="24"/>
                <w:lang w:val="zh-TW" w:eastAsia="zh-TW"/>
              </w:rPr>
              <w:t>流程模板中的模板名称、过程名称</w:t>
            </w:r>
            <w:r>
              <w:rPr>
                <w:rFonts w:hint="eastAsia" w:ascii="宋体" w:hAnsi="宋体" w:eastAsia="宋体" w:cs="宋体"/>
                <w:sz w:val="24"/>
                <w:szCs w:val="24"/>
              </w:rPr>
              <w:t>；</w:t>
            </w:r>
          </w:p>
          <w:p w14:paraId="4363B585">
            <w:pPr>
              <w:pStyle w:val="11"/>
              <w:numPr>
                <w:ilvl w:val="0"/>
                <w:numId w:val="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支持感控专职人员发起新增</w:t>
            </w:r>
            <w:r>
              <w:rPr>
                <w:rFonts w:hint="eastAsia" w:ascii="宋体" w:hAnsi="宋体" w:eastAsia="宋体" w:cs="宋体"/>
                <w:sz w:val="24"/>
                <w:szCs w:val="24"/>
              </w:rPr>
              <w:t>PDCA</w:t>
            </w:r>
            <w:r>
              <w:rPr>
                <w:rFonts w:hint="eastAsia" w:ascii="宋体" w:hAnsi="宋体" w:eastAsia="宋体" w:cs="宋体"/>
                <w:sz w:val="24"/>
                <w:szCs w:val="24"/>
                <w:lang w:val="zh-TW" w:eastAsia="zh-TW"/>
              </w:rPr>
              <w:t>持续改进，包括关联科室名称、监测项目、预期目标、资料来源、监测结果、问题叙述、原因分析、督导项目负责人、参与人员、上传图片</w:t>
            </w:r>
            <w:r>
              <w:rPr>
                <w:rFonts w:hint="eastAsia" w:ascii="宋体" w:hAnsi="宋体" w:eastAsia="宋体" w:cs="宋体"/>
                <w:sz w:val="24"/>
                <w:szCs w:val="24"/>
                <w:lang w:val="zh-TW"/>
              </w:rPr>
              <w:t>；</w:t>
            </w:r>
          </w:p>
          <w:p w14:paraId="633786FB">
            <w:pPr>
              <w:pStyle w:val="11"/>
              <w:numPr>
                <w:ilvl w:val="0"/>
                <w:numId w:val="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w:t>
            </w:r>
            <w:r>
              <w:rPr>
                <w:rFonts w:hint="eastAsia" w:ascii="宋体" w:hAnsi="宋体" w:eastAsia="宋体" w:cs="宋体"/>
                <w:sz w:val="24"/>
                <w:szCs w:val="24"/>
              </w:rPr>
              <w:t>PDCA</w:t>
            </w:r>
            <w:r>
              <w:rPr>
                <w:rFonts w:hint="eastAsia" w:ascii="宋体" w:hAnsi="宋体" w:eastAsia="宋体" w:cs="宋体"/>
                <w:sz w:val="24"/>
                <w:szCs w:val="24"/>
                <w:lang w:val="zh-TW" w:eastAsia="zh-TW"/>
              </w:rPr>
              <w:t>内容打印报告、另存为</w:t>
            </w:r>
            <w:r>
              <w:rPr>
                <w:rFonts w:hint="eastAsia" w:ascii="宋体" w:hAnsi="宋体" w:eastAsia="宋体" w:cs="宋体"/>
                <w:sz w:val="24"/>
                <w:szCs w:val="24"/>
              </w:rPr>
              <w:t>PDCA</w:t>
            </w:r>
            <w:r>
              <w:rPr>
                <w:rFonts w:hint="eastAsia" w:ascii="宋体" w:hAnsi="宋体" w:eastAsia="宋体" w:cs="宋体"/>
                <w:sz w:val="24"/>
                <w:szCs w:val="24"/>
                <w:lang w:val="zh-TW" w:eastAsia="zh-TW"/>
              </w:rPr>
              <w:t>改进模板；</w:t>
            </w:r>
          </w:p>
          <w:p w14:paraId="644238F4">
            <w:pPr>
              <w:pStyle w:val="11"/>
              <w:numPr>
                <w:ilvl w:val="0"/>
                <w:numId w:val="8"/>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支持医院对</w:t>
            </w:r>
            <w:r>
              <w:rPr>
                <w:rFonts w:hint="eastAsia" w:ascii="宋体" w:hAnsi="宋体" w:eastAsia="宋体" w:cs="宋体"/>
                <w:sz w:val="24"/>
                <w:szCs w:val="24"/>
              </w:rPr>
              <w:t>PDCA</w:t>
            </w:r>
            <w:r>
              <w:rPr>
                <w:rFonts w:hint="eastAsia" w:ascii="宋体" w:hAnsi="宋体" w:eastAsia="宋体" w:cs="宋体"/>
                <w:sz w:val="24"/>
                <w:szCs w:val="24"/>
                <w:lang w:val="zh-TW" w:eastAsia="zh-TW"/>
              </w:rPr>
              <w:t>流程的自定义及顺序调整。</w:t>
            </w:r>
          </w:p>
        </w:tc>
      </w:tr>
      <w:tr w14:paraId="354569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51"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BD1381">
            <w:pPr>
              <w:widowControl/>
              <w:jc w:val="center"/>
              <w:rPr>
                <w:rFonts w:ascii="宋体" w:hAnsi="宋体" w:eastAsia="宋体" w:cs="宋体"/>
                <w:sz w:val="24"/>
                <w:szCs w:val="24"/>
              </w:rPr>
            </w:pPr>
            <w:r>
              <w:rPr>
                <w:rFonts w:hint="eastAsia" w:ascii="宋体" w:hAnsi="宋体" w:eastAsia="宋体" w:cs="宋体"/>
                <w:sz w:val="24"/>
                <w:szCs w:val="24"/>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1FAA8">
            <w:pPr>
              <w:widowControl/>
              <w:jc w:val="center"/>
              <w:rPr>
                <w:rFonts w:ascii="宋体" w:hAnsi="宋体" w:eastAsia="宋体" w:cs="宋体"/>
                <w:sz w:val="24"/>
                <w:szCs w:val="24"/>
              </w:rPr>
            </w:pPr>
            <w:r>
              <w:rPr>
                <w:rFonts w:hint="eastAsia" w:ascii="宋体" w:hAnsi="宋体" w:eastAsia="宋体" w:cs="宋体"/>
                <w:sz w:val="24"/>
                <w:szCs w:val="24"/>
                <w:lang w:val="zh-TW" w:eastAsia="zh-TW"/>
              </w:rPr>
              <w:t>干预会话</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E19BAC0">
            <w:pPr>
              <w:pStyle w:val="11"/>
              <w:numPr>
                <w:ilvl w:val="0"/>
                <w:numId w:val="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更为灵活的消息盒子，支持与医院主业务系统消息对接，如</w:t>
            </w:r>
            <w:r>
              <w:rPr>
                <w:rFonts w:hint="eastAsia" w:ascii="宋体" w:hAnsi="宋体" w:eastAsia="宋体" w:cs="宋体"/>
                <w:sz w:val="24"/>
                <w:szCs w:val="24"/>
              </w:rPr>
              <w:t>HIS</w:t>
            </w:r>
            <w:r>
              <w:rPr>
                <w:rFonts w:hint="eastAsia" w:ascii="宋体" w:hAnsi="宋体" w:eastAsia="宋体" w:cs="宋体"/>
                <w:sz w:val="24"/>
                <w:szCs w:val="24"/>
                <w:lang w:val="zh-TW" w:eastAsia="zh-TW"/>
              </w:rPr>
              <w:t>系统、电子病历系统，对接后使消息接收和传送更加统一；</w:t>
            </w:r>
          </w:p>
          <w:p w14:paraId="2C1E28AD">
            <w:pPr>
              <w:pStyle w:val="11"/>
              <w:numPr>
                <w:ilvl w:val="0"/>
                <w:numId w:val="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支持两种消息发送方式，包括：个人与个人的一对一实时沟通，个人至科室的一对多消息发送；</w:t>
            </w:r>
          </w:p>
          <w:p w14:paraId="1C0B2EEB">
            <w:pPr>
              <w:pStyle w:val="11"/>
              <w:numPr>
                <w:ilvl w:val="0"/>
                <w:numId w:val="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看发送的消息接收人数和未读人数；</w:t>
            </w:r>
          </w:p>
          <w:p w14:paraId="7413BE71">
            <w:pPr>
              <w:pStyle w:val="11"/>
              <w:numPr>
                <w:ilvl w:val="0"/>
                <w:numId w:val="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支持对未读的消息一键已读操作，同时可查看全部消息；</w:t>
            </w:r>
          </w:p>
          <w:p w14:paraId="347DE36C">
            <w:pPr>
              <w:pStyle w:val="11"/>
              <w:numPr>
                <w:ilvl w:val="0"/>
                <w:numId w:val="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消息发送支持个人到个人的一对一方式、个人到科室的一对多方式；</w:t>
            </w:r>
          </w:p>
          <w:p w14:paraId="5C8A6F23">
            <w:pPr>
              <w:pStyle w:val="11"/>
              <w:numPr>
                <w:ilvl w:val="0"/>
                <w:numId w:val="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支持临床科室接收感控管理端的消息，包括：感染病例审核结果提醒、职业暴露复查提醒、干预消息提醒、即时通讯消息提醒、</w:t>
            </w:r>
            <w:r>
              <w:rPr>
                <w:rFonts w:hint="eastAsia" w:ascii="宋体" w:hAnsi="宋体" w:eastAsia="宋体" w:cs="宋体"/>
                <w:sz w:val="24"/>
                <w:szCs w:val="24"/>
              </w:rPr>
              <w:t>SOP</w:t>
            </w:r>
            <w:r>
              <w:rPr>
                <w:rFonts w:hint="eastAsia" w:ascii="宋体" w:hAnsi="宋体" w:eastAsia="宋体" w:cs="宋体"/>
                <w:sz w:val="24"/>
                <w:szCs w:val="24"/>
                <w:lang w:val="zh-TW" w:eastAsia="zh-TW"/>
              </w:rPr>
              <w:t>感控标准操作流程提醒；</w:t>
            </w:r>
          </w:p>
          <w:p w14:paraId="45D687CD">
            <w:pPr>
              <w:pStyle w:val="11"/>
              <w:numPr>
                <w:ilvl w:val="0"/>
                <w:numId w:val="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支持感控管理端接收临床科室的消息，包括：感染病例报卡提醒、职业暴露上报提醒、即时通讯消息提醒；</w:t>
            </w:r>
          </w:p>
          <w:p w14:paraId="5224A780">
            <w:pPr>
              <w:pStyle w:val="11"/>
              <w:numPr>
                <w:ilvl w:val="0"/>
                <w:numId w:val="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不同的消息类型，点击后可进入不同的界面，进行查看、审核等业务操作，减少用户跳转操作；</w:t>
            </w:r>
          </w:p>
          <w:p w14:paraId="633AC625">
            <w:pPr>
              <w:pStyle w:val="11"/>
              <w:numPr>
                <w:ilvl w:val="0"/>
                <w:numId w:val="9"/>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支持以患者为中心，查看贯穿患者在院期间所有干预信息及即时消息内容。</w:t>
            </w:r>
          </w:p>
          <w:p w14:paraId="60D061D1">
            <w:pPr>
              <w:pStyle w:val="11"/>
              <w:numPr>
                <w:ilvl w:val="0"/>
                <w:numId w:val="9"/>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不登陆院感系统，可在客户端自动弹出院感科发送的干预消息及其他消息</w:t>
            </w:r>
            <w:r>
              <w:rPr>
                <w:rFonts w:hint="eastAsia" w:ascii="宋体" w:hAnsi="宋体" w:eastAsia="宋体" w:cs="宋体"/>
                <w:sz w:val="24"/>
                <w:szCs w:val="24"/>
                <w:lang w:val="zh-TW"/>
              </w:rPr>
              <w:t>。</w:t>
            </w:r>
          </w:p>
        </w:tc>
      </w:tr>
      <w:tr w14:paraId="56F000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65732">
            <w:pPr>
              <w:widowControl/>
              <w:jc w:val="center"/>
              <w:rPr>
                <w:rFonts w:ascii="宋体" w:hAnsi="宋体" w:eastAsia="宋体" w:cs="宋体"/>
                <w:sz w:val="24"/>
                <w:szCs w:val="24"/>
              </w:rPr>
            </w:pPr>
            <w:r>
              <w:rPr>
                <w:rFonts w:hint="eastAsia" w:ascii="宋体" w:hAnsi="宋体" w:eastAsia="宋体" w:cs="宋体"/>
                <w:sz w:val="24"/>
                <w:szCs w:val="24"/>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7BE357">
            <w:pPr>
              <w:widowControl/>
              <w:jc w:val="center"/>
              <w:rPr>
                <w:rFonts w:ascii="宋体" w:hAnsi="宋体" w:eastAsia="宋体" w:cs="宋体"/>
                <w:sz w:val="24"/>
                <w:szCs w:val="24"/>
              </w:rPr>
            </w:pPr>
            <w:r>
              <w:rPr>
                <w:rFonts w:hint="eastAsia" w:ascii="宋体" w:hAnsi="宋体" w:eastAsia="宋体" w:cs="宋体"/>
                <w:sz w:val="24"/>
                <w:szCs w:val="24"/>
                <w:lang w:val="zh-TW" w:eastAsia="zh-TW"/>
              </w:rPr>
              <w:t>感染监测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ECD7A10">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支持对感染病例报卡的审核操作，报卡信息的补充及修改</w:t>
            </w:r>
            <w:r>
              <w:rPr>
                <w:rFonts w:hint="eastAsia" w:ascii="宋体" w:hAnsi="宋体" w:eastAsia="宋体" w:cs="宋体"/>
                <w:sz w:val="24"/>
                <w:szCs w:val="24"/>
                <w:lang w:val="zh-TW"/>
              </w:rPr>
              <w:t>、报卡退回</w:t>
            </w:r>
            <w:r>
              <w:rPr>
                <w:rFonts w:hint="eastAsia" w:ascii="宋体" w:hAnsi="宋体" w:eastAsia="宋体" w:cs="宋体"/>
                <w:sz w:val="24"/>
                <w:szCs w:val="24"/>
                <w:lang w:val="zh-TW" w:eastAsia="zh-TW"/>
              </w:rPr>
              <w:t>；</w:t>
            </w:r>
          </w:p>
          <w:p w14:paraId="3BD0A296">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支持对感染病例审核时，可查看患者历史报卡的记录概况；</w:t>
            </w:r>
          </w:p>
          <w:p w14:paraId="4DFA281D">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支持查看临床医生上报医院感染病例报卡时填写的医院感染诊断依据；</w:t>
            </w:r>
          </w:p>
          <w:p w14:paraId="10E1AF4A">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支持按不同筛选条件进行感染病例查询，如：日期类别、感染类别、感染诊断名称、导管相关性条件、致病菌名称；</w:t>
            </w:r>
            <w:r>
              <w:rPr>
                <w:rFonts w:hint="eastAsia" w:ascii="宋体" w:hAnsi="宋体" w:eastAsia="宋体" w:cs="宋体"/>
                <w:sz w:val="24"/>
                <w:szCs w:val="24"/>
                <w:lang w:val="zh-TW"/>
              </w:rPr>
              <w:t xml:space="preserve"> </w:t>
            </w:r>
          </w:p>
          <w:p w14:paraId="3D0E59B0">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支持对感染病例进行感染终止日期修改、</w:t>
            </w:r>
            <w:r>
              <w:rPr>
                <w:rFonts w:hint="eastAsia" w:ascii="宋体" w:hAnsi="宋体" w:eastAsia="宋体" w:cs="宋体"/>
                <w:sz w:val="24"/>
                <w:szCs w:val="24"/>
                <w:lang w:val="zh-TW"/>
              </w:rPr>
              <w:t>感染</w:t>
            </w:r>
            <w:r>
              <w:rPr>
                <w:rFonts w:hint="eastAsia" w:ascii="宋体" w:hAnsi="宋体" w:eastAsia="宋体" w:cs="宋体"/>
                <w:sz w:val="24"/>
                <w:szCs w:val="24"/>
                <w:lang w:val="zh-TW" w:eastAsia="zh-TW"/>
              </w:rPr>
              <w:t>转归</w:t>
            </w:r>
            <w:r>
              <w:rPr>
                <w:rFonts w:hint="eastAsia" w:ascii="宋体" w:hAnsi="宋体" w:eastAsia="宋体" w:cs="宋体"/>
                <w:sz w:val="24"/>
                <w:szCs w:val="24"/>
                <w:lang w:val="zh-TW"/>
              </w:rPr>
              <w:t>情况填写、感染与原发病关系填写</w:t>
            </w:r>
            <w:r>
              <w:rPr>
                <w:rFonts w:hint="eastAsia" w:ascii="宋体" w:hAnsi="宋体" w:eastAsia="宋体" w:cs="宋体"/>
                <w:sz w:val="24"/>
                <w:szCs w:val="24"/>
                <w:lang w:val="zh-TW" w:eastAsia="zh-TW"/>
              </w:rPr>
              <w:t>；</w:t>
            </w:r>
          </w:p>
          <w:p w14:paraId="6A938A6E">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支持对已确认的感染病例报卡删除操作；</w:t>
            </w:r>
          </w:p>
          <w:p w14:paraId="39328177">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支持最新全国医院感染培训基地的现患率横断面个案调查表；</w:t>
            </w:r>
          </w:p>
          <w:p w14:paraId="619D9476">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支持不限次数的现患率横断面调查；</w:t>
            </w:r>
          </w:p>
          <w:p w14:paraId="755551B9">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支持一键自动生成调查日在院患者及出院患者现患数据，如：患者基本信息、所在科室，调查者可对调查表进行信息补充；</w:t>
            </w:r>
          </w:p>
          <w:p w14:paraId="652D24C2">
            <w:pPr>
              <w:pStyle w:val="11"/>
              <w:numPr>
                <w:ilvl w:val="0"/>
                <w:numId w:val="10"/>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支持对完成的调查数据可直接上报至全国医院感染监控管理培训基地；</w:t>
            </w:r>
          </w:p>
          <w:p w14:paraId="0FE81EBD">
            <w:pPr>
              <w:pStyle w:val="11"/>
              <w:numPr>
                <w:ilvl w:val="0"/>
                <w:numId w:val="10"/>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支持查询在院患者及出院患者，并可按住院号、病案号、姓名模糊查询。</w:t>
            </w:r>
          </w:p>
        </w:tc>
      </w:tr>
      <w:tr w14:paraId="330F65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5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8914">
            <w:pPr>
              <w:jc w:val="center"/>
              <w:rPr>
                <w:rFonts w:ascii="宋体" w:hAnsi="宋体" w:eastAsia="宋体" w:cs="宋体"/>
                <w:sz w:val="24"/>
                <w:szCs w:val="24"/>
              </w:rPr>
            </w:pPr>
            <w:r>
              <w:rPr>
                <w:rFonts w:hint="eastAsia" w:ascii="宋体" w:hAnsi="宋体" w:eastAsia="宋体" w:cs="宋体"/>
                <w:sz w:val="24"/>
                <w:szCs w:val="24"/>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B782">
            <w:pPr>
              <w:jc w:val="center"/>
              <w:rPr>
                <w:rFonts w:ascii="宋体" w:hAnsi="宋体" w:eastAsia="宋体" w:cs="宋体"/>
                <w:sz w:val="24"/>
                <w:szCs w:val="24"/>
              </w:rPr>
            </w:pPr>
            <w:r>
              <w:rPr>
                <w:rFonts w:hint="eastAsia" w:ascii="宋体" w:hAnsi="宋体" w:eastAsia="宋体" w:cs="宋体"/>
                <w:sz w:val="24"/>
                <w:szCs w:val="24"/>
                <w:lang w:val="zh-TW" w:eastAsia="zh-TW"/>
              </w:rPr>
              <w:t>细菌监测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292B7A4">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lang w:val="zh-TW" w:eastAsia="zh-TW"/>
              </w:rPr>
              <w:t>自动对微生物数据进行加载，结合最新多耐定义标准《医疗机构耐药菌</w:t>
            </w:r>
            <w:r>
              <w:rPr>
                <w:rFonts w:ascii="宋体" w:hAnsi="宋体" w:eastAsia="宋体" w:cs="宋体"/>
                <w:color w:val="auto"/>
                <w:sz w:val="24"/>
                <w:szCs w:val="24"/>
              </w:rPr>
              <w:t>MDR</w:t>
            </w:r>
            <w:r>
              <w:rPr>
                <w:rFonts w:ascii="宋体" w:hAnsi="宋体" w:eastAsia="宋体" w:cs="宋体"/>
                <w:color w:val="auto"/>
                <w:sz w:val="24"/>
                <w:szCs w:val="24"/>
                <w:lang w:val="zh-TW" w:eastAsia="zh-TW"/>
              </w:rPr>
              <w:t>、</w:t>
            </w:r>
            <w:r>
              <w:rPr>
                <w:rFonts w:ascii="宋体" w:hAnsi="宋体" w:eastAsia="宋体" w:cs="宋体"/>
                <w:color w:val="auto"/>
                <w:sz w:val="24"/>
                <w:szCs w:val="24"/>
              </w:rPr>
              <w:t>XDR</w:t>
            </w:r>
            <w:r>
              <w:rPr>
                <w:rFonts w:ascii="宋体" w:hAnsi="宋体" w:eastAsia="宋体" w:cs="宋体"/>
                <w:color w:val="auto"/>
                <w:sz w:val="24"/>
                <w:szCs w:val="24"/>
                <w:lang w:val="zh-TW" w:eastAsia="zh-TW"/>
              </w:rPr>
              <w:t>、</w:t>
            </w:r>
            <w:r>
              <w:rPr>
                <w:rFonts w:ascii="宋体" w:hAnsi="宋体" w:eastAsia="宋体" w:cs="宋体"/>
                <w:color w:val="auto"/>
                <w:sz w:val="24"/>
                <w:szCs w:val="24"/>
              </w:rPr>
              <w:t>PDR</w:t>
            </w:r>
            <w:r>
              <w:rPr>
                <w:rFonts w:ascii="宋体" w:hAnsi="宋体" w:eastAsia="宋体" w:cs="宋体"/>
                <w:color w:val="auto"/>
                <w:sz w:val="24"/>
                <w:szCs w:val="24"/>
                <w:lang w:val="zh-TW" w:eastAsia="zh-TW"/>
              </w:rPr>
              <w:t>的定义专家建议（草案）》</w:t>
            </w:r>
            <w:r>
              <w:rPr>
                <w:rFonts w:ascii="宋体" w:hAnsi="宋体" w:eastAsia="宋体" w:cs="宋体"/>
                <w:color w:val="auto"/>
                <w:sz w:val="24"/>
                <w:szCs w:val="24"/>
              </w:rPr>
              <w:t>自动判断是否为MDR、XDR、PDR，对特殊耐药菌自动进行颜色醒目标识。对多重耐药</w:t>
            </w:r>
            <w:r>
              <w:rPr>
                <w:rFonts w:ascii="宋体" w:hAnsi="宋体" w:eastAsia="宋体" w:cs="宋体"/>
                <w:color w:val="auto"/>
                <w:sz w:val="24"/>
                <w:szCs w:val="24"/>
                <w:lang w:val="zh-TW" w:eastAsia="zh-TW"/>
              </w:rPr>
              <w:t>进行多耐分析</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及时对临床科室和感控科预警提示</w:t>
            </w:r>
          </w:p>
          <w:p w14:paraId="119BD803">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rPr>
              <w:t>细菌监测界面列表显示多耐/特耐审核状态、多重耐药菌防控措施的督导情况、多重耐药菌感染病例上报情况、隔离状态、是否出院、评分、管床医生、感染部位、感染类型、是否落实、备注等信息。</w:t>
            </w:r>
          </w:p>
          <w:p w14:paraId="22BA9EDE">
            <w:pPr>
              <w:pStyle w:val="14"/>
              <w:numPr>
                <w:ilvl w:val="0"/>
                <w:numId w:val="11"/>
              </w:numPr>
              <w:tabs>
                <w:tab w:val="left" w:pos="420"/>
              </w:tabs>
              <w:jc w:val="left"/>
              <w:rPr>
                <w:rFonts w:hint="default" w:ascii="宋体" w:hAnsi="宋体" w:eastAsia="宋体" w:cs="宋体"/>
                <w:color w:val="auto"/>
                <w:sz w:val="24"/>
                <w:szCs w:val="24"/>
                <w:lang w:val="zh-TW" w:eastAsia="zh-TW"/>
              </w:rPr>
            </w:pPr>
            <w:r>
              <w:rPr>
                <w:rFonts w:ascii="宋体" w:hAnsi="宋体" w:eastAsia="宋体" w:cs="宋体"/>
                <w:color w:val="auto"/>
                <w:sz w:val="24"/>
                <w:szCs w:val="24"/>
              </w:rPr>
              <w:t>对每种抗菌药物的药敏结果进行展示，</w:t>
            </w:r>
            <w:r>
              <w:rPr>
                <w:rFonts w:ascii="宋体" w:hAnsi="宋体" w:eastAsia="宋体" w:cs="宋体"/>
                <w:color w:val="auto"/>
                <w:sz w:val="24"/>
                <w:szCs w:val="24"/>
                <w:lang w:val="zh-TW" w:eastAsia="zh-TW"/>
              </w:rPr>
              <w:t>并按照药敏药物的药品类别分组显示</w:t>
            </w:r>
            <w:r>
              <w:rPr>
                <w:rFonts w:ascii="宋体" w:hAnsi="宋体" w:eastAsia="宋体" w:cs="宋体"/>
                <w:color w:val="auto"/>
                <w:sz w:val="24"/>
                <w:szCs w:val="24"/>
                <w:lang w:val="zh-TW"/>
              </w:rPr>
              <w:t>，</w:t>
            </w:r>
            <w:r>
              <w:rPr>
                <w:rFonts w:ascii="宋体" w:hAnsi="宋体" w:eastAsia="宋体" w:cs="宋体"/>
                <w:color w:val="auto"/>
                <w:sz w:val="24"/>
                <w:szCs w:val="24"/>
              </w:rPr>
              <w:t>包括：β-内酰胺与β-内酰胺酶抑制复合物、</w:t>
            </w:r>
            <w:r>
              <w:rPr>
                <w:rFonts w:ascii="宋体" w:hAnsi="宋体" w:eastAsia="宋体" w:cs="宋体"/>
                <w:color w:val="auto"/>
                <w:sz w:val="24"/>
                <w:szCs w:val="24"/>
                <w:lang w:val="zh-TW" w:eastAsia="zh-TW"/>
              </w:rPr>
              <w:t>氨基糖苷类</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单环β-内酰胺类</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青霉素类</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碳青霉烯类</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头孢类</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硝基呋喃类</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叶酸代谢途径抑制剂(磺胺类)</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喹诺酮类</w:t>
            </w:r>
            <w:r>
              <w:rPr>
                <w:rFonts w:ascii="宋体" w:hAnsi="宋体" w:eastAsia="宋体" w:cs="宋体"/>
                <w:color w:val="auto"/>
                <w:sz w:val="24"/>
                <w:szCs w:val="24"/>
              </w:rPr>
              <w:t>等，如果</w:t>
            </w:r>
            <w:r>
              <w:rPr>
                <w:rFonts w:ascii="宋体" w:hAnsi="宋体" w:eastAsia="宋体" w:cs="宋体"/>
                <w:color w:val="auto"/>
                <w:sz w:val="24"/>
                <w:szCs w:val="24"/>
                <w:lang w:val="zh-TW" w:eastAsia="zh-TW"/>
              </w:rPr>
              <w:t>是天然耐药</w:t>
            </w:r>
            <w:r>
              <w:rPr>
                <w:rFonts w:ascii="宋体" w:hAnsi="宋体" w:eastAsia="宋体" w:cs="宋体"/>
                <w:color w:val="auto"/>
                <w:sz w:val="24"/>
                <w:szCs w:val="24"/>
              </w:rPr>
              <w:t>的抗菌药物</w:t>
            </w:r>
            <w:r>
              <w:rPr>
                <w:rFonts w:ascii="宋体" w:hAnsi="宋体" w:eastAsia="宋体" w:cs="宋体"/>
                <w:color w:val="auto"/>
                <w:sz w:val="24"/>
                <w:szCs w:val="24"/>
                <w:lang w:val="zh-TW" w:eastAsia="zh-TW"/>
              </w:rPr>
              <w:t>，有</w:t>
            </w:r>
            <w:r>
              <w:rPr>
                <w:rFonts w:ascii="宋体" w:hAnsi="宋体" w:eastAsia="宋体" w:cs="宋体"/>
                <w:color w:val="auto"/>
                <w:sz w:val="24"/>
                <w:szCs w:val="24"/>
              </w:rPr>
              <w:t>不同颜色区分的</w:t>
            </w:r>
            <w:r>
              <w:rPr>
                <w:rFonts w:ascii="宋体" w:hAnsi="宋体" w:eastAsia="宋体" w:cs="宋体"/>
                <w:color w:val="auto"/>
                <w:sz w:val="24"/>
                <w:szCs w:val="24"/>
                <w:lang w:val="zh-TW" w:eastAsia="zh-TW"/>
              </w:rPr>
              <w:t>显眼提示</w:t>
            </w:r>
            <w:r>
              <w:rPr>
                <w:rFonts w:ascii="宋体" w:hAnsi="宋体" w:eastAsia="宋体" w:cs="宋体"/>
                <w:color w:val="auto"/>
                <w:sz w:val="24"/>
                <w:szCs w:val="24"/>
                <w:lang w:val="zh-TW"/>
              </w:rPr>
              <w:t>。</w:t>
            </w:r>
          </w:p>
          <w:p w14:paraId="6C6D71D4">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lang w:val="zh-TW" w:eastAsia="zh-TW"/>
              </w:rPr>
              <w:t>支持根据最新规范标准，自动区分出</w:t>
            </w:r>
            <w:r>
              <w:rPr>
                <w:rFonts w:ascii="宋体" w:hAnsi="宋体" w:eastAsia="宋体" w:cs="宋体"/>
                <w:color w:val="auto"/>
                <w:sz w:val="24"/>
                <w:szCs w:val="24"/>
              </w:rPr>
              <w:t>MDR</w:t>
            </w:r>
            <w:r>
              <w:rPr>
                <w:rFonts w:ascii="宋体" w:hAnsi="宋体" w:eastAsia="宋体" w:cs="宋体"/>
                <w:color w:val="auto"/>
                <w:sz w:val="24"/>
                <w:szCs w:val="24"/>
                <w:lang w:val="zh-TW" w:eastAsia="zh-TW"/>
              </w:rPr>
              <w:t>、</w:t>
            </w:r>
            <w:r>
              <w:rPr>
                <w:rFonts w:ascii="宋体" w:hAnsi="宋体" w:eastAsia="宋体" w:cs="宋体"/>
                <w:color w:val="auto"/>
                <w:sz w:val="24"/>
                <w:szCs w:val="24"/>
              </w:rPr>
              <w:t>XDR</w:t>
            </w:r>
            <w:r>
              <w:rPr>
                <w:rFonts w:ascii="宋体" w:hAnsi="宋体" w:eastAsia="宋体" w:cs="宋体"/>
                <w:color w:val="auto"/>
                <w:sz w:val="24"/>
                <w:szCs w:val="24"/>
                <w:lang w:val="zh-TW" w:eastAsia="zh-TW"/>
              </w:rPr>
              <w:t>、</w:t>
            </w:r>
            <w:r>
              <w:rPr>
                <w:rFonts w:ascii="宋体" w:hAnsi="宋体" w:eastAsia="宋体" w:cs="宋体"/>
                <w:color w:val="auto"/>
                <w:sz w:val="24"/>
                <w:szCs w:val="24"/>
              </w:rPr>
              <w:t>PDR</w:t>
            </w:r>
            <w:r>
              <w:rPr>
                <w:rFonts w:ascii="宋体" w:hAnsi="宋体" w:eastAsia="宋体" w:cs="宋体"/>
                <w:color w:val="auto"/>
                <w:sz w:val="24"/>
                <w:szCs w:val="24"/>
                <w:lang w:val="zh-TW" w:eastAsia="zh-TW"/>
              </w:rPr>
              <w:t>、特殊耐药菌、能够自动剔除天然耐药。</w:t>
            </w:r>
          </w:p>
          <w:p w14:paraId="3DB4C149">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lang w:val="zh-TW" w:eastAsia="zh-TW"/>
              </w:rPr>
              <w:t>支持每日检出菌中按管辖科室或全院视角查看，自动优先展示未审核的重点菌内容，对聚焦重点菌的审核、干预；</w:t>
            </w:r>
          </w:p>
          <w:p w14:paraId="5A67DD51">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lang w:val="zh-TW" w:eastAsia="zh-TW"/>
              </w:rPr>
              <w:t>支持自动关联感染的致病菌信息，包括：感染类型、感染时间、感染部位；</w:t>
            </w:r>
          </w:p>
          <w:p w14:paraId="5DA2576C">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lang w:val="zh-TW" w:eastAsia="zh-TW"/>
              </w:rPr>
              <w:t>支持</w:t>
            </w:r>
            <w:r>
              <w:rPr>
                <w:rFonts w:ascii="宋体" w:hAnsi="宋体" w:eastAsia="宋体" w:cs="宋体"/>
                <w:color w:val="auto"/>
                <w:sz w:val="24"/>
                <w:szCs w:val="24"/>
              </w:rPr>
              <w:t>在该界面对多重耐药菌进行多耐、特耐审核；</w:t>
            </w:r>
            <w:r>
              <w:rPr>
                <w:rFonts w:ascii="宋体" w:hAnsi="宋体" w:eastAsia="宋体" w:cs="宋体"/>
                <w:color w:val="auto"/>
                <w:sz w:val="24"/>
                <w:szCs w:val="24"/>
                <w:lang w:val="zh-TW" w:eastAsia="zh-TW"/>
              </w:rPr>
              <w:t>对</w:t>
            </w:r>
            <w:r>
              <w:rPr>
                <w:rFonts w:ascii="宋体" w:hAnsi="宋体" w:eastAsia="宋体" w:cs="宋体"/>
                <w:color w:val="auto"/>
                <w:sz w:val="24"/>
                <w:szCs w:val="24"/>
              </w:rPr>
              <w:t>细菌</w:t>
            </w:r>
            <w:r>
              <w:rPr>
                <w:rFonts w:ascii="宋体" w:hAnsi="宋体" w:eastAsia="宋体" w:cs="宋体"/>
                <w:color w:val="auto"/>
                <w:sz w:val="24"/>
                <w:szCs w:val="24"/>
                <w:lang w:val="zh-TW" w:eastAsia="zh-TW"/>
              </w:rPr>
              <w:t>的感染类型</w:t>
            </w:r>
            <w:r>
              <w:rPr>
                <w:rFonts w:ascii="宋体" w:hAnsi="宋体" w:eastAsia="宋体" w:cs="宋体"/>
                <w:color w:val="auto"/>
                <w:sz w:val="24"/>
                <w:szCs w:val="24"/>
                <w:lang w:val="zh-TW"/>
              </w:rPr>
              <w:t>审核处理</w:t>
            </w:r>
            <w:r>
              <w:rPr>
                <w:rFonts w:ascii="宋体" w:hAnsi="宋体" w:eastAsia="宋体" w:cs="宋体"/>
                <w:color w:val="auto"/>
                <w:sz w:val="24"/>
                <w:szCs w:val="24"/>
                <w:lang w:val="zh-TW" w:eastAsia="zh-TW"/>
              </w:rPr>
              <w:t>，包括：院感、社感、定植、污染、不确定、未审核</w:t>
            </w:r>
            <w:r>
              <w:rPr>
                <w:rFonts w:ascii="宋体" w:hAnsi="宋体" w:eastAsia="宋体" w:cs="宋体"/>
                <w:color w:val="auto"/>
                <w:sz w:val="24"/>
                <w:szCs w:val="24"/>
              </w:rPr>
              <w:t>等操作；</w:t>
            </w:r>
            <w:r>
              <w:rPr>
                <w:rFonts w:ascii="宋体" w:hAnsi="宋体" w:eastAsia="宋体" w:cs="宋体"/>
                <w:color w:val="auto"/>
                <w:sz w:val="24"/>
                <w:szCs w:val="24"/>
                <w:lang w:val="zh-TW"/>
              </w:rPr>
              <w:t>审核为院感时，可优先干预到临床，要求临床先进行院感致病菌报告；</w:t>
            </w:r>
          </w:p>
          <w:p w14:paraId="3800B2C3">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lang w:val="zh-TW" w:eastAsia="zh-TW"/>
              </w:rPr>
              <w:t>支持根据患者医嘱情况，自动展示患者隔离</w:t>
            </w:r>
            <w:r>
              <w:rPr>
                <w:rFonts w:ascii="宋体" w:hAnsi="宋体" w:eastAsia="宋体" w:cs="宋体"/>
                <w:color w:val="auto"/>
                <w:sz w:val="24"/>
                <w:szCs w:val="24"/>
                <w:lang w:val="zh-TW"/>
              </w:rPr>
              <w:t>标识</w:t>
            </w:r>
            <w:r>
              <w:rPr>
                <w:rFonts w:ascii="宋体" w:hAnsi="宋体" w:eastAsia="宋体" w:cs="宋体"/>
                <w:color w:val="auto"/>
                <w:sz w:val="24"/>
                <w:szCs w:val="24"/>
                <w:lang w:val="zh-TW" w:eastAsia="zh-TW"/>
              </w:rPr>
              <w:t>，自动计算出患者开始隔离日期、解除隔离日期</w:t>
            </w:r>
            <w:r>
              <w:rPr>
                <w:rFonts w:ascii="宋体" w:hAnsi="宋体" w:eastAsia="宋体" w:cs="宋体"/>
                <w:color w:val="auto"/>
                <w:sz w:val="24"/>
                <w:szCs w:val="24"/>
                <w:lang w:val="zh-TW"/>
              </w:rPr>
              <w:t>，可钻取隔离标识的医嘱明细</w:t>
            </w:r>
            <w:r>
              <w:rPr>
                <w:rFonts w:ascii="宋体" w:hAnsi="宋体" w:eastAsia="宋体" w:cs="宋体"/>
                <w:color w:val="auto"/>
                <w:sz w:val="24"/>
                <w:szCs w:val="24"/>
                <w:lang w:val="zh-TW" w:eastAsia="zh-TW"/>
              </w:rPr>
              <w:t>；</w:t>
            </w:r>
          </w:p>
          <w:p w14:paraId="0DD6A53B">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lang w:val="zh-TW"/>
              </w:rPr>
              <w:t>支持对干预的检出菌患者，进行隔离干预消息操作，干预自动生成；</w:t>
            </w:r>
          </w:p>
          <w:p w14:paraId="7E8D795C">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lang w:val="zh-TW"/>
              </w:rPr>
              <w:t>支持调阅查看多重耐药菌患者的感染防控评估表执行情况；</w:t>
            </w:r>
          </w:p>
          <w:p w14:paraId="1475AFB7">
            <w:pPr>
              <w:pStyle w:val="14"/>
              <w:numPr>
                <w:ilvl w:val="0"/>
                <w:numId w:val="11"/>
              </w:numPr>
              <w:tabs>
                <w:tab w:val="left" w:pos="420"/>
              </w:tabs>
              <w:jc w:val="left"/>
              <w:rPr>
                <w:rFonts w:hint="default" w:ascii="宋体" w:hAnsi="宋体" w:eastAsia="宋体" w:cs="宋体"/>
                <w:color w:val="auto"/>
                <w:sz w:val="24"/>
                <w:szCs w:val="24"/>
                <w:lang w:val="zh-TW"/>
              </w:rPr>
            </w:pPr>
            <w:r>
              <w:rPr>
                <w:rFonts w:ascii="宋体" w:hAnsi="宋体" w:eastAsia="宋体" w:cs="宋体"/>
                <w:color w:val="auto"/>
                <w:sz w:val="24"/>
                <w:szCs w:val="24"/>
                <w:lang w:val="zh-TW" w:eastAsia="zh-TW"/>
              </w:rPr>
              <w:t>支持按多条件查询检出菌明细，条件包括：时间类型（送检日期、检出日期），患者检索、科室类型、科室名称、重点菌和非重点菌、细菌名称、革兰氏</w:t>
            </w:r>
            <w:r>
              <w:rPr>
                <w:rFonts w:ascii="宋体" w:hAnsi="宋体" w:eastAsia="宋体" w:cs="宋体"/>
                <w:color w:val="auto"/>
                <w:sz w:val="24"/>
                <w:szCs w:val="24"/>
              </w:rPr>
              <w:t>G+/G-</w:t>
            </w:r>
            <w:r>
              <w:rPr>
                <w:rFonts w:ascii="宋体" w:hAnsi="宋体" w:eastAsia="宋体" w:cs="宋体"/>
                <w:color w:val="auto"/>
                <w:sz w:val="24"/>
                <w:szCs w:val="24"/>
                <w:lang w:val="zh-TW" w:eastAsia="zh-TW"/>
              </w:rPr>
              <w:t>、菌属分类、感染类型、隔离医嘱情况、管辖科室</w:t>
            </w:r>
            <w:r>
              <w:rPr>
                <w:rFonts w:ascii="宋体" w:hAnsi="宋体" w:eastAsia="宋体" w:cs="宋体"/>
                <w:color w:val="auto"/>
                <w:sz w:val="24"/>
                <w:szCs w:val="24"/>
              </w:rPr>
              <w:t>/</w:t>
            </w:r>
            <w:r>
              <w:rPr>
                <w:rFonts w:ascii="宋体" w:hAnsi="宋体" w:eastAsia="宋体" w:cs="宋体"/>
                <w:color w:val="auto"/>
                <w:sz w:val="24"/>
                <w:szCs w:val="24"/>
                <w:lang w:val="zh-TW" w:eastAsia="zh-TW"/>
              </w:rPr>
              <w:t>全院；</w:t>
            </w:r>
          </w:p>
          <w:p w14:paraId="01E2CB89">
            <w:pPr>
              <w:pStyle w:val="14"/>
              <w:numPr>
                <w:ilvl w:val="0"/>
                <w:numId w:val="11"/>
              </w:numPr>
              <w:tabs>
                <w:tab w:val="left" w:pos="420"/>
              </w:tabs>
              <w:jc w:val="left"/>
              <w:rPr>
                <w:rFonts w:hint="default" w:ascii="宋体" w:hAnsi="宋体" w:eastAsia="宋体" w:cs="宋体"/>
                <w:color w:val="auto"/>
                <w:sz w:val="24"/>
                <w:szCs w:val="24"/>
              </w:rPr>
            </w:pPr>
            <w:r>
              <w:rPr>
                <w:rFonts w:ascii="宋体" w:hAnsi="宋体" w:eastAsia="宋体" w:cs="宋体"/>
                <w:color w:val="auto"/>
                <w:sz w:val="24"/>
                <w:szCs w:val="24"/>
                <w:lang w:val="zh-TW" w:eastAsia="zh-TW"/>
              </w:rPr>
              <w:t>支持对查询的菌结果，可直接导出</w:t>
            </w:r>
            <w:r>
              <w:rPr>
                <w:rFonts w:ascii="宋体" w:hAnsi="宋体" w:eastAsia="宋体" w:cs="宋体"/>
                <w:color w:val="auto"/>
                <w:sz w:val="24"/>
                <w:szCs w:val="24"/>
              </w:rPr>
              <w:t>XLS</w:t>
            </w:r>
            <w:r>
              <w:rPr>
                <w:rFonts w:ascii="宋体" w:hAnsi="宋体" w:eastAsia="宋体" w:cs="宋体"/>
                <w:color w:val="auto"/>
                <w:sz w:val="24"/>
                <w:szCs w:val="24"/>
                <w:lang w:val="zh-TW" w:eastAsia="zh-TW"/>
              </w:rPr>
              <w:t>。</w:t>
            </w:r>
          </w:p>
          <w:p w14:paraId="74A70841">
            <w:pPr>
              <w:pStyle w:val="11"/>
              <w:numPr>
                <w:ilvl w:val="0"/>
                <w:numId w:val="1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支持可按多种条件进行查询统计，包括：时间类型（送检日期、检出日期）</w:t>
            </w:r>
            <w:r>
              <w:rPr>
                <w:rFonts w:hint="eastAsia" w:ascii="宋体" w:hAnsi="宋体" w:eastAsia="宋体" w:cs="宋体"/>
                <w:sz w:val="24"/>
                <w:szCs w:val="24"/>
                <w:lang w:val="zh-TW"/>
              </w:rPr>
              <w:t>按月度、季度、年度、自定义时间段</w:t>
            </w:r>
            <w:r>
              <w:rPr>
                <w:rFonts w:hint="eastAsia" w:ascii="宋体" w:hAnsi="宋体" w:eastAsia="宋体" w:cs="宋体"/>
                <w:sz w:val="24"/>
                <w:szCs w:val="24"/>
                <w:lang w:val="zh-TW" w:eastAsia="zh-TW"/>
              </w:rPr>
              <w:t>，科室类型、科室名称、细菌名称、标本名称、革兰氏</w:t>
            </w:r>
            <w:r>
              <w:rPr>
                <w:rFonts w:hint="eastAsia" w:ascii="宋体" w:hAnsi="宋体" w:eastAsia="宋体" w:cs="宋体"/>
                <w:sz w:val="24"/>
                <w:szCs w:val="24"/>
              </w:rPr>
              <w:t>G+/G-</w:t>
            </w:r>
            <w:r>
              <w:rPr>
                <w:rFonts w:hint="eastAsia" w:ascii="宋体" w:hAnsi="宋体" w:eastAsia="宋体" w:cs="宋体"/>
                <w:sz w:val="24"/>
                <w:szCs w:val="24"/>
                <w:lang w:val="zh-TW" w:eastAsia="zh-TW"/>
              </w:rPr>
              <w:t>、菌属分类、感染类型、管辖科室</w:t>
            </w:r>
            <w:r>
              <w:rPr>
                <w:rFonts w:hint="eastAsia" w:ascii="宋体" w:hAnsi="宋体" w:eastAsia="宋体" w:cs="宋体"/>
                <w:sz w:val="24"/>
                <w:szCs w:val="24"/>
              </w:rPr>
              <w:t>/</w:t>
            </w:r>
            <w:r>
              <w:rPr>
                <w:rFonts w:hint="eastAsia" w:ascii="宋体" w:hAnsi="宋体" w:eastAsia="宋体" w:cs="宋体"/>
                <w:sz w:val="24"/>
                <w:szCs w:val="24"/>
                <w:lang w:val="zh-TW" w:eastAsia="zh-TW"/>
              </w:rPr>
              <w:t>全院维度，自动剔除重复</w:t>
            </w:r>
            <w:r>
              <w:rPr>
                <w:rFonts w:hint="eastAsia" w:ascii="宋体" w:hAnsi="宋体" w:eastAsia="宋体" w:cs="宋体"/>
                <w:sz w:val="24"/>
                <w:szCs w:val="24"/>
                <w:lang w:val="zh-TW"/>
              </w:rPr>
              <w:t>；</w:t>
            </w:r>
          </w:p>
          <w:p w14:paraId="46F49C60">
            <w:pPr>
              <w:pStyle w:val="11"/>
              <w:numPr>
                <w:ilvl w:val="0"/>
                <w:numId w:val="1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指标包括：</w:t>
            </w:r>
            <w:r>
              <w:rPr>
                <w:rFonts w:hint="eastAsia" w:ascii="宋体" w:hAnsi="宋体" w:eastAsia="宋体" w:cs="宋体"/>
                <w:sz w:val="24"/>
                <w:szCs w:val="24"/>
                <w:lang w:val="zh-TW" w:eastAsia="zh-TW"/>
              </w:rPr>
              <w:t>送检阳性率（科室）</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送检多耐率（科室）</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检出菌耐药率统计</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按耐药率程度颜色标记</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检出菌标本分布</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检出菌科室分布</w:t>
            </w:r>
            <w:r>
              <w:rPr>
                <w:rFonts w:hint="eastAsia" w:ascii="宋体" w:hAnsi="宋体" w:eastAsia="宋体" w:cs="宋体"/>
                <w:sz w:val="24"/>
                <w:szCs w:val="24"/>
                <w:lang w:val="zh-TW"/>
              </w:rPr>
              <w:t>、感染类型分布、多重耐药菌感染人（例次）数、多重耐药菌感染发生（例次）率、多重耐药菌千日感染（例次）率、重点菌感染次数、检出菌标本分布、标本检出菌分布、体温异常血培养送检率；</w:t>
            </w:r>
          </w:p>
          <w:p w14:paraId="311FFBE6">
            <w:pPr>
              <w:pStyle w:val="14"/>
              <w:numPr>
                <w:ilvl w:val="0"/>
                <w:numId w:val="11"/>
              </w:numPr>
              <w:tabs>
                <w:tab w:val="left" w:pos="420"/>
              </w:tabs>
              <w:jc w:val="left"/>
              <w:rPr>
                <w:rFonts w:hint="default" w:ascii="宋体" w:hAnsi="宋体" w:eastAsia="宋体" w:cs="宋体"/>
                <w:color w:val="auto"/>
                <w:sz w:val="24"/>
                <w:szCs w:val="24"/>
              </w:rPr>
            </w:pPr>
            <w:r>
              <w:rPr>
                <w:rFonts w:ascii="宋体" w:hAnsi="宋体" w:eastAsia="宋体" w:cs="宋体"/>
                <w:color w:val="auto"/>
                <w:sz w:val="24"/>
                <w:szCs w:val="24"/>
                <w:lang w:val="zh-TW"/>
              </w:rPr>
              <w:t>按月度、季度、年度的环比分析检出率趋势、多耐率趋势、菌的耐药率趋势。</w:t>
            </w:r>
          </w:p>
        </w:tc>
      </w:tr>
      <w:tr w14:paraId="7DA354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04"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4391">
            <w:pPr>
              <w:jc w:val="center"/>
              <w:rPr>
                <w:rFonts w:ascii="宋体" w:hAnsi="宋体" w:eastAsia="宋体" w:cs="宋体"/>
                <w:sz w:val="24"/>
                <w:szCs w:val="24"/>
              </w:rPr>
            </w:pPr>
            <w:r>
              <w:rPr>
                <w:rFonts w:hint="eastAsia" w:ascii="宋体" w:hAnsi="宋体" w:eastAsia="宋体" w:cs="宋体"/>
                <w:sz w:val="24"/>
                <w:szCs w:val="24"/>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F315">
            <w:pPr>
              <w:jc w:val="center"/>
              <w:rPr>
                <w:rFonts w:ascii="宋体" w:hAnsi="宋体" w:eastAsia="宋体" w:cs="宋体"/>
                <w:sz w:val="24"/>
                <w:szCs w:val="24"/>
              </w:rPr>
            </w:pPr>
            <w:r>
              <w:rPr>
                <w:rFonts w:hint="eastAsia" w:ascii="宋体" w:hAnsi="宋体" w:eastAsia="宋体" w:cs="宋体"/>
                <w:sz w:val="24"/>
                <w:szCs w:val="24"/>
              </w:rPr>
              <w:t>多重耐药菌防控措施评估</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D3A4B90">
            <w:pPr>
              <w:pStyle w:val="11"/>
              <w:numPr>
                <w:ilvl w:val="0"/>
                <w:numId w:val="1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w:t>
            </w:r>
            <w:r>
              <w:rPr>
                <w:rFonts w:hint="eastAsia" w:ascii="宋体" w:hAnsi="宋体" w:eastAsia="宋体" w:cs="宋体"/>
                <w:sz w:val="24"/>
                <w:szCs w:val="24"/>
              </w:rPr>
              <w:t>多种耐药菌的防控措施进行评估及督导，对于检出的多重耐药菌，系统自动预警并发送防控措施表至管床医生、护士，院感科医生下到临床进行防控措施的督导，临床的防控措施记录，以及院感科的督导评价将全部记录在系统，可溯源。可对防控记录和督导表进行打印</w:t>
            </w:r>
          </w:p>
          <w:p w14:paraId="5071B279">
            <w:pPr>
              <w:pStyle w:val="11"/>
              <w:numPr>
                <w:ilvl w:val="0"/>
                <w:numId w:val="1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rPr>
              <w:t>支持</w:t>
            </w:r>
            <w:r>
              <w:rPr>
                <w:rFonts w:hint="eastAsia" w:ascii="宋体" w:hAnsi="宋体" w:eastAsia="宋体" w:cs="宋体"/>
                <w:sz w:val="24"/>
                <w:szCs w:val="24"/>
                <w:lang w:val="zh-TW" w:eastAsia="zh-TW"/>
              </w:rPr>
              <w:t>对</w:t>
            </w:r>
            <w:r>
              <w:rPr>
                <w:rFonts w:hint="eastAsia" w:ascii="宋体" w:hAnsi="宋体" w:eastAsia="宋体" w:cs="宋体"/>
                <w:sz w:val="24"/>
                <w:szCs w:val="24"/>
                <w:lang w:val="zh-TW"/>
              </w:rPr>
              <w:t>防控措施评估表进行医院个性化的配置与设定；</w:t>
            </w:r>
          </w:p>
          <w:p w14:paraId="34D899A9">
            <w:pPr>
              <w:pStyle w:val="11"/>
              <w:numPr>
                <w:ilvl w:val="0"/>
                <w:numId w:val="1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支持评估项的不限定项目数的新增；</w:t>
            </w:r>
          </w:p>
          <w:p w14:paraId="748BA9BB">
            <w:pPr>
              <w:pStyle w:val="11"/>
              <w:numPr>
                <w:ilvl w:val="0"/>
                <w:numId w:val="1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支持对评估项的分值设定；</w:t>
            </w:r>
          </w:p>
          <w:p w14:paraId="2CFB53C3">
            <w:pPr>
              <w:pStyle w:val="11"/>
              <w:numPr>
                <w:ilvl w:val="0"/>
                <w:numId w:val="1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支持对防控措施评估表的开启、暂停的设置；</w:t>
            </w:r>
          </w:p>
          <w:p w14:paraId="40C917D0">
            <w:pPr>
              <w:pStyle w:val="11"/>
              <w:numPr>
                <w:ilvl w:val="0"/>
                <w:numId w:val="1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支持临床医生与护士对多重耐药菌患者的防控措施评估表的填报，评估结果直接同步至感控管理端。</w:t>
            </w:r>
          </w:p>
        </w:tc>
      </w:tr>
      <w:tr w14:paraId="508C72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E755E8">
            <w:pPr>
              <w:widowControl/>
              <w:jc w:val="center"/>
              <w:rPr>
                <w:rFonts w:ascii="宋体" w:hAnsi="宋体" w:eastAsia="宋体" w:cs="宋体"/>
                <w:sz w:val="24"/>
                <w:szCs w:val="24"/>
              </w:rPr>
            </w:pPr>
            <w:r>
              <w:rPr>
                <w:rFonts w:hint="eastAsia" w:ascii="宋体" w:hAnsi="宋体" w:eastAsia="宋体" w:cs="宋体"/>
                <w:sz w:val="24"/>
                <w:szCs w:val="24"/>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D7B06D">
            <w:pPr>
              <w:widowControl/>
              <w:rPr>
                <w:rFonts w:ascii="宋体" w:hAnsi="宋体" w:eastAsia="宋体" w:cs="宋体"/>
                <w:sz w:val="24"/>
                <w:szCs w:val="24"/>
              </w:rPr>
            </w:pPr>
            <w:r>
              <w:rPr>
                <w:rFonts w:hint="eastAsia" w:ascii="宋体" w:hAnsi="宋体" w:eastAsia="宋体" w:cs="宋体"/>
                <w:sz w:val="24"/>
                <w:szCs w:val="24"/>
              </w:rPr>
              <w:t>ICU</w:t>
            </w:r>
            <w:r>
              <w:rPr>
                <w:rFonts w:hint="eastAsia" w:ascii="宋体" w:hAnsi="宋体" w:eastAsia="宋体" w:cs="宋体"/>
                <w:sz w:val="24"/>
                <w:szCs w:val="24"/>
                <w:lang w:val="zh-TW" w:eastAsia="zh-TW"/>
              </w:rPr>
              <w:t>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39804EA">
            <w:pPr>
              <w:pStyle w:val="11"/>
              <w:numPr>
                <w:ilvl w:val="0"/>
                <w:numId w:val="13"/>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支持对全院</w:t>
            </w:r>
            <w:r>
              <w:rPr>
                <w:rFonts w:hint="eastAsia" w:ascii="宋体" w:hAnsi="宋体" w:eastAsia="宋体" w:cs="宋体"/>
                <w:sz w:val="24"/>
                <w:szCs w:val="24"/>
              </w:rPr>
              <w:t>ICU</w:t>
            </w:r>
            <w:r>
              <w:rPr>
                <w:rFonts w:hint="eastAsia" w:ascii="宋体" w:hAnsi="宋体" w:eastAsia="宋体" w:cs="宋体"/>
                <w:sz w:val="24"/>
                <w:szCs w:val="24"/>
                <w:lang w:val="zh-TW" w:eastAsia="zh-TW"/>
              </w:rPr>
              <w:t>、</w:t>
            </w:r>
            <w:r>
              <w:rPr>
                <w:rFonts w:hint="eastAsia" w:ascii="宋体" w:hAnsi="宋体" w:eastAsia="宋体" w:cs="宋体"/>
                <w:sz w:val="24"/>
                <w:szCs w:val="24"/>
              </w:rPr>
              <w:t>PICU</w:t>
            </w:r>
            <w:r>
              <w:rPr>
                <w:rFonts w:hint="eastAsia" w:ascii="宋体" w:hAnsi="宋体" w:eastAsia="宋体" w:cs="宋体"/>
                <w:sz w:val="24"/>
                <w:szCs w:val="24"/>
                <w:lang w:val="zh-TW" w:eastAsia="zh-TW"/>
              </w:rPr>
              <w:t>、</w:t>
            </w:r>
            <w:r>
              <w:rPr>
                <w:rFonts w:hint="eastAsia" w:ascii="宋体" w:hAnsi="宋体" w:eastAsia="宋体" w:cs="宋体"/>
                <w:sz w:val="24"/>
                <w:szCs w:val="24"/>
              </w:rPr>
              <w:t>CCU</w:t>
            </w:r>
            <w:r>
              <w:rPr>
                <w:rFonts w:hint="eastAsia" w:ascii="宋体" w:hAnsi="宋体" w:eastAsia="宋体" w:cs="宋体"/>
                <w:sz w:val="24"/>
                <w:szCs w:val="24"/>
                <w:lang w:val="zh-TW" w:eastAsia="zh-TW"/>
              </w:rPr>
              <w:t>、</w:t>
            </w:r>
            <w:r>
              <w:rPr>
                <w:rFonts w:hint="eastAsia" w:ascii="宋体" w:hAnsi="宋体" w:eastAsia="宋体" w:cs="宋体"/>
                <w:sz w:val="24"/>
                <w:szCs w:val="24"/>
              </w:rPr>
              <w:t>MICU</w:t>
            </w:r>
            <w:r>
              <w:rPr>
                <w:rFonts w:hint="eastAsia" w:ascii="宋体" w:hAnsi="宋体" w:eastAsia="宋体" w:cs="宋体"/>
                <w:sz w:val="24"/>
                <w:szCs w:val="24"/>
                <w:lang w:val="zh-TW" w:eastAsia="zh-TW"/>
              </w:rPr>
              <w:t>等</w:t>
            </w:r>
            <w:r>
              <w:rPr>
                <w:rFonts w:hint="eastAsia" w:ascii="宋体" w:hAnsi="宋体" w:eastAsia="宋体" w:cs="宋体"/>
                <w:sz w:val="24"/>
                <w:szCs w:val="24"/>
              </w:rPr>
              <w:t>ICU</w:t>
            </w:r>
            <w:r>
              <w:rPr>
                <w:rFonts w:hint="eastAsia" w:ascii="宋体" w:hAnsi="宋体" w:eastAsia="宋体" w:cs="宋体"/>
                <w:sz w:val="24"/>
                <w:szCs w:val="24"/>
                <w:lang w:val="zh-TW" w:eastAsia="zh-TW"/>
              </w:rPr>
              <w:t>病房监测；</w:t>
            </w:r>
          </w:p>
          <w:p w14:paraId="1A014B25">
            <w:pPr>
              <w:pStyle w:val="11"/>
              <w:numPr>
                <w:ilvl w:val="0"/>
                <w:numId w:val="13"/>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支持自动生成新住进患者数、住在患者数、留置导尿管使用患者数、中心静脉插管使用患者数、呼吸机使用患者数；</w:t>
            </w:r>
          </w:p>
          <w:p w14:paraId="3EAC7E84">
            <w:pPr>
              <w:pStyle w:val="11"/>
              <w:numPr>
                <w:ilvl w:val="0"/>
                <w:numId w:val="13"/>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支持对监测月报中的患者数列表穿透，可查看插管使用开始时间、结束时间、使用天数</w:t>
            </w:r>
            <w:r>
              <w:rPr>
                <w:rFonts w:hint="eastAsia" w:ascii="宋体" w:hAnsi="宋体" w:eastAsia="宋体" w:cs="宋体"/>
                <w:sz w:val="24"/>
                <w:szCs w:val="24"/>
                <w:lang w:val="zh-TW"/>
              </w:rPr>
              <w:t>、插管评估概况</w:t>
            </w:r>
            <w:r>
              <w:rPr>
                <w:rFonts w:hint="eastAsia" w:ascii="宋体" w:hAnsi="宋体" w:eastAsia="宋体" w:cs="宋体"/>
                <w:sz w:val="24"/>
                <w:szCs w:val="24"/>
                <w:lang w:val="zh-TW" w:eastAsia="zh-TW"/>
              </w:rPr>
              <w:t>；</w:t>
            </w:r>
          </w:p>
          <w:p w14:paraId="7A7E7101">
            <w:pPr>
              <w:pStyle w:val="11"/>
              <w:numPr>
                <w:ilvl w:val="0"/>
                <w:numId w:val="13"/>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w:t>
            </w:r>
            <w:r>
              <w:rPr>
                <w:rFonts w:hint="eastAsia" w:ascii="宋体" w:hAnsi="宋体" w:eastAsia="宋体" w:cs="宋体"/>
                <w:sz w:val="24"/>
                <w:szCs w:val="24"/>
                <w:lang w:val="zh-TW"/>
              </w:rPr>
              <w:t>高危新生儿</w:t>
            </w:r>
            <w:r>
              <w:rPr>
                <w:rFonts w:hint="eastAsia" w:ascii="宋体" w:hAnsi="宋体" w:eastAsia="宋体" w:cs="宋体"/>
                <w:sz w:val="24"/>
                <w:szCs w:val="24"/>
                <w:lang w:val="zh-TW" w:eastAsia="zh-TW"/>
              </w:rPr>
              <w:t>病房监测；</w:t>
            </w:r>
          </w:p>
          <w:p w14:paraId="5FC23882">
            <w:pPr>
              <w:pStyle w:val="11"/>
              <w:numPr>
                <w:ilvl w:val="0"/>
                <w:numId w:val="13"/>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能够自动生成监测月报按（</w:t>
            </w:r>
            <w:r>
              <w:rPr>
                <w:rFonts w:hint="eastAsia" w:ascii="宋体" w:hAnsi="宋体" w:eastAsia="宋体" w:cs="宋体"/>
                <w:sz w:val="24"/>
                <w:szCs w:val="24"/>
              </w:rPr>
              <w:t>≤1000g</w:t>
            </w:r>
            <w:r>
              <w:rPr>
                <w:rFonts w:hint="eastAsia" w:ascii="宋体" w:hAnsi="宋体" w:eastAsia="宋体" w:cs="宋体"/>
                <w:sz w:val="24"/>
                <w:szCs w:val="24"/>
                <w:lang w:val="zh-TW" w:eastAsia="zh-TW"/>
              </w:rPr>
              <w:t>、（</w:t>
            </w:r>
            <w:r>
              <w:rPr>
                <w:rFonts w:hint="eastAsia" w:ascii="宋体" w:hAnsi="宋体" w:eastAsia="宋体" w:cs="宋体"/>
                <w:sz w:val="24"/>
                <w:szCs w:val="24"/>
              </w:rPr>
              <w:t>1001-1500</w:t>
            </w:r>
            <w:r>
              <w:rPr>
                <w:rFonts w:hint="eastAsia" w:ascii="宋体" w:hAnsi="宋体" w:eastAsia="宋体" w:cs="宋体"/>
                <w:sz w:val="24"/>
                <w:szCs w:val="24"/>
                <w:lang w:val="zh-TW" w:eastAsia="zh-TW"/>
              </w:rPr>
              <w:t>）</w:t>
            </w:r>
            <w:r>
              <w:rPr>
                <w:rFonts w:hint="eastAsia" w:ascii="宋体" w:hAnsi="宋体" w:eastAsia="宋体" w:cs="宋体"/>
                <w:sz w:val="24"/>
                <w:szCs w:val="24"/>
              </w:rPr>
              <w:t>g</w:t>
            </w:r>
            <w:r>
              <w:rPr>
                <w:rFonts w:hint="eastAsia" w:ascii="宋体" w:hAnsi="宋体" w:eastAsia="宋体" w:cs="宋体"/>
                <w:sz w:val="24"/>
                <w:szCs w:val="24"/>
                <w:lang w:val="zh-TW" w:eastAsia="zh-TW"/>
              </w:rPr>
              <w:t>、（</w:t>
            </w:r>
            <w:r>
              <w:rPr>
                <w:rFonts w:hint="eastAsia" w:ascii="宋体" w:hAnsi="宋体" w:eastAsia="宋体" w:cs="宋体"/>
                <w:sz w:val="24"/>
                <w:szCs w:val="24"/>
              </w:rPr>
              <w:t>1501-2500</w:t>
            </w:r>
            <w:r>
              <w:rPr>
                <w:rFonts w:hint="eastAsia" w:ascii="宋体" w:hAnsi="宋体" w:eastAsia="宋体" w:cs="宋体"/>
                <w:sz w:val="24"/>
                <w:szCs w:val="24"/>
                <w:lang w:val="zh-TW" w:eastAsia="zh-TW"/>
              </w:rPr>
              <w:t>）</w:t>
            </w:r>
            <w:r>
              <w:rPr>
                <w:rFonts w:hint="eastAsia" w:ascii="宋体" w:hAnsi="宋体" w:eastAsia="宋体" w:cs="宋体"/>
                <w:sz w:val="24"/>
                <w:szCs w:val="24"/>
              </w:rPr>
              <w:t>g</w:t>
            </w:r>
            <w:r>
              <w:rPr>
                <w:rFonts w:hint="eastAsia" w:ascii="宋体" w:hAnsi="宋体" w:eastAsia="宋体" w:cs="宋体"/>
                <w:sz w:val="24"/>
                <w:szCs w:val="24"/>
                <w:lang w:val="zh-TW" w:eastAsia="zh-TW"/>
              </w:rPr>
              <w:t>、</w:t>
            </w:r>
            <w:r>
              <w:rPr>
                <w:rFonts w:hint="eastAsia" w:ascii="宋体" w:hAnsi="宋体" w:eastAsia="宋体" w:cs="宋体"/>
                <w:sz w:val="24"/>
                <w:szCs w:val="24"/>
              </w:rPr>
              <w:t>≥2500g</w:t>
            </w:r>
            <w:r>
              <w:rPr>
                <w:rFonts w:hint="eastAsia" w:ascii="宋体" w:hAnsi="宋体" w:eastAsia="宋体" w:cs="宋体"/>
                <w:sz w:val="24"/>
                <w:szCs w:val="24"/>
                <w:lang w:val="zh-TW" w:eastAsia="zh-TW"/>
              </w:rPr>
              <w:t>）进行分组</w:t>
            </w:r>
            <w:r>
              <w:rPr>
                <w:rFonts w:hint="eastAsia" w:ascii="宋体" w:hAnsi="宋体" w:eastAsia="宋体" w:cs="宋体"/>
                <w:sz w:val="24"/>
                <w:szCs w:val="24"/>
                <w:lang w:val="zh-TW"/>
              </w:rPr>
              <w:t>的新生儿监测月报</w:t>
            </w:r>
            <w:r>
              <w:rPr>
                <w:rFonts w:hint="eastAsia" w:ascii="宋体" w:hAnsi="宋体" w:eastAsia="宋体" w:cs="宋体"/>
                <w:sz w:val="24"/>
                <w:szCs w:val="24"/>
              </w:rPr>
              <w:t>,</w:t>
            </w:r>
            <w:r>
              <w:rPr>
                <w:rFonts w:hint="eastAsia" w:ascii="宋体" w:hAnsi="宋体" w:eastAsia="宋体" w:cs="宋体"/>
                <w:sz w:val="24"/>
                <w:szCs w:val="24"/>
                <w:lang w:val="zh-TW" w:eastAsia="zh-TW"/>
              </w:rPr>
              <w:t>同时也分组（</w:t>
            </w:r>
            <w:r>
              <w:rPr>
                <w:rFonts w:hint="eastAsia" w:ascii="宋体" w:hAnsi="宋体" w:eastAsia="宋体" w:cs="宋体"/>
                <w:sz w:val="24"/>
                <w:szCs w:val="24"/>
              </w:rPr>
              <w:t>≤751g</w:t>
            </w:r>
            <w:r>
              <w:rPr>
                <w:rFonts w:hint="eastAsia" w:ascii="宋体" w:hAnsi="宋体" w:eastAsia="宋体" w:cs="宋体"/>
                <w:sz w:val="24"/>
                <w:szCs w:val="24"/>
                <w:lang w:val="zh-TW" w:eastAsia="zh-TW"/>
              </w:rPr>
              <w:t>、（</w:t>
            </w:r>
            <w:r>
              <w:rPr>
                <w:rFonts w:hint="eastAsia" w:ascii="宋体" w:hAnsi="宋体" w:eastAsia="宋体" w:cs="宋体"/>
                <w:sz w:val="24"/>
                <w:szCs w:val="24"/>
              </w:rPr>
              <w:t>751-1000</w:t>
            </w:r>
            <w:r>
              <w:rPr>
                <w:rFonts w:hint="eastAsia" w:ascii="宋体" w:hAnsi="宋体" w:eastAsia="宋体" w:cs="宋体"/>
                <w:sz w:val="24"/>
                <w:szCs w:val="24"/>
                <w:lang w:val="zh-TW" w:eastAsia="zh-TW"/>
              </w:rPr>
              <w:t>）</w:t>
            </w:r>
            <w:r>
              <w:rPr>
                <w:rFonts w:hint="eastAsia" w:ascii="宋体" w:hAnsi="宋体" w:eastAsia="宋体" w:cs="宋体"/>
                <w:sz w:val="24"/>
                <w:szCs w:val="24"/>
              </w:rPr>
              <w:t>g</w:t>
            </w:r>
            <w:r>
              <w:rPr>
                <w:rFonts w:hint="eastAsia" w:ascii="宋体" w:hAnsi="宋体" w:eastAsia="宋体" w:cs="宋体"/>
                <w:sz w:val="24"/>
                <w:szCs w:val="24"/>
                <w:lang w:val="zh-TW" w:eastAsia="zh-TW"/>
              </w:rPr>
              <w:t>、（</w:t>
            </w:r>
            <w:r>
              <w:rPr>
                <w:rFonts w:hint="eastAsia" w:ascii="宋体" w:hAnsi="宋体" w:eastAsia="宋体" w:cs="宋体"/>
                <w:sz w:val="24"/>
                <w:szCs w:val="24"/>
              </w:rPr>
              <w:t>1001-1500</w:t>
            </w:r>
            <w:r>
              <w:rPr>
                <w:rFonts w:hint="eastAsia" w:ascii="宋体" w:hAnsi="宋体" w:eastAsia="宋体" w:cs="宋体"/>
                <w:sz w:val="24"/>
                <w:szCs w:val="24"/>
                <w:lang w:val="zh-TW" w:eastAsia="zh-TW"/>
              </w:rPr>
              <w:t>）</w:t>
            </w:r>
            <w:r>
              <w:rPr>
                <w:rFonts w:hint="eastAsia" w:ascii="宋体" w:hAnsi="宋体" w:eastAsia="宋体" w:cs="宋体"/>
                <w:sz w:val="24"/>
                <w:szCs w:val="24"/>
              </w:rPr>
              <w:t>g</w:t>
            </w:r>
            <w:r>
              <w:rPr>
                <w:rFonts w:hint="eastAsia" w:ascii="宋体" w:hAnsi="宋体" w:eastAsia="宋体" w:cs="宋体"/>
                <w:sz w:val="24"/>
                <w:szCs w:val="24"/>
                <w:lang w:val="zh-TW" w:eastAsia="zh-TW"/>
              </w:rPr>
              <w:t>、（</w:t>
            </w:r>
            <w:r>
              <w:rPr>
                <w:rFonts w:hint="eastAsia" w:ascii="宋体" w:hAnsi="宋体" w:eastAsia="宋体" w:cs="宋体"/>
                <w:sz w:val="24"/>
                <w:szCs w:val="24"/>
              </w:rPr>
              <w:t>1501-2500</w:t>
            </w:r>
            <w:r>
              <w:rPr>
                <w:rFonts w:hint="eastAsia" w:ascii="宋体" w:hAnsi="宋体" w:eastAsia="宋体" w:cs="宋体"/>
                <w:sz w:val="24"/>
                <w:szCs w:val="24"/>
                <w:lang w:val="zh-TW" w:eastAsia="zh-TW"/>
              </w:rPr>
              <w:t>）</w:t>
            </w:r>
            <w:r>
              <w:rPr>
                <w:rFonts w:hint="eastAsia" w:ascii="宋体" w:hAnsi="宋体" w:eastAsia="宋体" w:cs="宋体"/>
                <w:sz w:val="24"/>
                <w:szCs w:val="24"/>
              </w:rPr>
              <w:t>g</w:t>
            </w:r>
            <w:r>
              <w:rPr>
                <w:rFonts w:hint="eastAsia" w:ascii="宋体" w:hAnsi="宋体" w:eastAsia="宋体" w:cs="宋体"/>
                <w:sz w:val="24"/>
                <w:szCs w:val="24"/>
                <w:lang w:val="zh-TW" w:eastAsia="zh-TW"/>
              </w:rPr>
              <w:t>、</w:t>
            </w:r>
            <w:r>
              <w:rPr>
                <w:rFonts w:hint="eastAsia" w:ascii="宋体" w:hAnsi="宋体" w:eastAsia="宋体" w:cs="宋体"/>
                <w:sz w:val="24"/>
                <w:szCs w:val="24"/>
              </w:rPr>
              <w:t>≥2500g</w:t>
            </w:r>
            <w:r>
              <w:rPr>
                <w:rFonts w:hint="eastAsia" w:ascii="宋体" w:hAnsi="宋体" w:eastAsia="宋体" w:cs="宋体"/>
                <w:sz w:val="24"/>
                <w:szCs w:val="24"/>
                <w:lang w:val="zh-TW" w:eastAsia="zh-TW"/>
              </w:rPr>
              <w:t>）；分组的新住进患者数、住在患者数、脐</w:t>
            </w:r>
            <w:r>
              <w:rPr>
                <w:rFonts w:hint="eastAsia" w:ascii="宋体" w:hAnsi="宋体" w:eastAsia="宋体" w:cs="宋体"/>
                <w:sz w:val="24"/>
                <w:szCs w:val="24"/>
              </w:rPr>
              <w:t>/</w:t>
            </w:r>
            <w:r>
              <w:rPr>
                <w:rFonts w:hint="eastAsia" w:ascii="宋体" w:hAnsi="宋体" w:eastAsia="宋体" w:cs="宋体"/>
                <w:sz w:val="24"/>
                <w:szCs w:val="24"/>
                <w:lang w:val="zh-TW" w:eastAsia="zh-TW"/>
              </w:rPr>
              <w:t>中心静脉插管使用患者数、呼吸机使用患者数；</w:t>
            </w:r>
          </w:p>
          <w:p w14:paraId="38FECAE3">
            <w:pPr>
              <w:pStyle w:val="11"/>
              <w:numPr>
                <w:ilvl w:val="0"/>
                <w:numId w:val="13"/>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支持对未填写体重的新生儿提供维护窗口；</w:t>
            </w:r>
          </w:p>
          <w:p w14:paraId="21BA4361">
            <w:pPr>
              <w:pStyle w:val="11"/>
              <w:numPr>
                <w:ilvl w:val="0"/>
                <w:numId w:val="13"/>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支持对监测月报中的患儿数列表穿透，可查看插管使用开始时间、结束时间、使用天数</w:t>
            </w:r>
            <w:r>
              <w:rPr>
                <w:rFonts w:hint="eastAsia" w:ascii="宋体" w:hAnsi="宋体" w:eastAsia="宋体" w:cs="宋体"/>
                <w:sz w:val="24"/>
                <w:szCs w:val="24"/>
                <w:lang w:val="zh-TW"/>
              </w:rPr>
              <w:t>、插管评估概况</w:t>
            </w:r>
            <w:r>
              <w:rPr>
                <w:rFonts w:hint="eastAsia" w:ascii="宋体" w:hAnsi="宋体" w:eastAsia="宋体" w:cs="宋体"/>
                <w:sz w:val="24"/>
                <w:szCs w:val="24"/>
                <w:lang w:val="zh-TW" w:eastAsia="zh-TW"/>
              </w:rPr>
              <w:t>；</w:t>
            </w:r>
          </w:p>
          <w:p w14:paraId="01B79CB6">
            <w:pPr>
              <w:pStyle w:val="11"/>
              <w:numPr>
                <w:ilvl w:val="0"/>
                <w:numId w:val="13"/>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支持临床病情等级评分功能，医生根据患者病情，对患者病情进行评分操作，一周内选定</w:t>
            </w:r>
            <w:r>
              <w:rPr>
                <w:rFonts w:hint="eastAsia" w:ascii="宋体" w:hAnsi="宋体" w:eastAsia="宋体" w:cs="宋体"/>
                <w:sz w:val="24"/>
                <w:szCs w:val="24"/>
                <w:lang w:val="zh-TW"/>
              </w:rPr>
              <w:t>任意</w:t>
            </w:r>
            <w:r>
              <w:rPr>
                <w:rFonts w:hint="eastAsia" w:ascii="宋体" w:hAnsi="宋体" w:eastAsia="宋体" w:cs="宋体"/>
                <w:sz w:val="24"/>
                <w:szCs w:val="24"/>
                <w:lang w:val="zh-TW" w:eastAsia="zh-TW"/>
              </w:rPr>
              <w:t>一日进行病情等级评定；</w:t>
            </w:r>
          </w:p>
          <w:p w14:paraId="7C0395A1">
            <w:pPr>
              <w:pStyle w:val="11"/>
              <w:numPr>
                <w:ilvl w:val="0"/>
                <w:numId w:val="13"/>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支持临床病情等级未评分人进行归纳，方便查询及评分</w:t>
            </w:r>
            <w:r>
              <w:rPr>
                <w:rFonts w:hint="eastAsia" w:ascii="宋体" w:hAnsi="宋体" w:eastAsia="宋体" w:cs="宋体"/>
                <w:sz w:val="24"/>
                <w:szCs w:val="24"/>
                <w:lang w:val="zh-TW"/>
              </w:rPr>
              <w:t>；</w:t>
            </w:r>
          </w:p>
          <w:p w14:paraId="30904571">
            <w:pPr>
              <w:pStyle w:val="11"/>
              <w:numPr>
                <w:ilvl w:val="0"/>
                <w:numId w:val="13"/>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rPr>
              <w:t>支持对普通病房的ICU床位进行ICU级别监测。</w:t>
            </w:r>
          </w:p>
          <w:p w14:paraId="29C4C583">
            <w:pPr>
              <w:pStyle w:val="11"/>
              <w:numPr>
                <w:ilvl w:val="0"/>
                <w:numId w:val="13"/>
              </w:numPr>
              <w:ind w:firstLineChars="0"/>
              <w:rPr>
                <w:rFonts w:ascii="宋体" w:hAnsi="宋体" w:eastAsia="宋体" w:cs="宋体"/>
                <w:sz w:val="24"/>
                <w:szCs w:val="24"/>
              </w:rPr>
            </w:pPr>
            <w:r>
              <w:rPr>
                <w:rFonts w:hint="eastAsia" w:ascii="宋体" w:hAnsi="宋体" w:eastAsia="宋体" w:cs="宋体"/>
                <w:sz w:val="24"/>
                <w:szCs w:val="24"/>
                <w:lang w:val="zh-CN"/>
              </w:rPr>
              <w:t>支持按照住院患者人数的时间段查询，</w:t>
            </w:r>
            <w:r>
              <w:rPr>
                <w:rFonts w:hint="eastAsia" w:ascii="宋体" w:hAnsi="宋体" w:eastAsia="宋体" w:cs="宋体"/>
                <w:sz w:val="24"/>
                <w:szCs w:val="24"/>
                <w:lang w:val="zh-TW" w:eastAsia="zh-TW"/>
              </w:rPr>
              <w:t>科室感染率（</w:t>
            </w:r>
            <w:r>
              <w:rPr>
                <w:rFonts w:hint="eastAsia" w:ascii="宋体" w:hAnsi="宋体" w:eastAsia="宋体" w:cs="宋体"/>
                <w:sz w:val="24"/>
                <w:szCs w:val="24"/>
              </w:rPr>
              <w:t>%</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科室感染例次率（</w:t>
            </w:r>
            <w:r>
              <w:rPr>
                <w:rFonts w:hint="eastAsia" w:ascii="宋体" w:hAnsi="宋体" w:eastAsia="宋体" w:cs="宋体"/>
                <w:sz w:val="24"/>
                <w:szCs w:val="24"/>
              </w:rPr>
              <w:t>%</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日感染率（</w:t>
            </w:r>
            <w:r>
              <w:rPr>
                <w:rFonts w:hint="eastAsia" w:ascii="宋体" w:hAnsi="宋体" w:eastAsia="宋体" w:cs="宋体"/>
                <w:sz w:val="24"/>
                <w:szCs w:val="24"/>
              </w:rPr>
              <w:t>‰</w:t>
            </w:r>
            <w:r>
              <w:rPr>
                <w:rFonts w:hint="eastAsia" w:ascii="宋体" w:hAnsi="宋体" w:eastAsia="宋体" w:cs="宋体"/>
                <w:sz w:val="24"/>
                <w:szCs w:val="24"/>
                <w:lang w:val="zh-TW" w:eastAsia="zh-TW"/>
              </w:rPr>
              <w:t>）调整感染率（</w:t>
            </w:r>
            <w:r>
              <w:rPr>
                <w:rFonts w:hint="eastAsia" w:ascii="宋体" w:hAnsi="宋体" w:eastAsia="宋体" w:cs="宋体"/>
                <w:sz w:val="24"/>
                <w:szCs w:val="24"/>
              </w:rPr>
              <w:t>%</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调整日感染率（</w:t>
            </w:r>
            <w:r>
              <w:rPr>
                <w:rFonts w:hint="eastAsia" w:ascii="宋体" w:hAnsi="宋体" w:eastAsia="宋体" w:cs="宋体"/>
                <w:sz w:val="24"/>
                <w:szCs w:val="24"/>
              </w:rPr>
              <w:t>‰</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中心静脉插管使用率（</w:t>
            </w:r>
            <w:r>
              <w:rPr>
                <w:rFonts w:hint="eastAsia" w:ascii="宋体" w:hAnsi="宋体" w:eastAsia="宋体" w:cs="宋体"/>
                <w:sz w:val="24"/>
                <w:szCs w:val="24"/>
              </w:rPr>
              <w:t>%</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呼吸机使用率（</w:t>
            </w:r>
            <w:r>
              <w:rPr>
                <w:rFonts w:hint="eastAsia" w:ascii="宋体" w:hAnsi="宋体" w:eastAsia="宋体" w:cs="宋体"/>
                <w:sz w:val="24"/>
                <w:szCs w:val="24"/>
              </w:rPr>
              <w:t>%</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总器械使用率（</w:t>
            </w:r>
            <w:r>
              <w:rPr>
                <w:rFonts w:hint="eastAsia" w:ascii="宋体" w:hAnsi="宋体" w:eastAsia="宋体" w:cs="宋体"/>
                <w:sz w:val="24"/>
                <w:szCs w:val="24"/>
              </w:rPr>
              <w:t>%</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p>
          <w:p w14:paraId="7CD9F4AC">
            <w:pPr>
              <w:pStyle w:val="11"/>
              <w:numPr>
                <w:ilvl w:val="0"/>
                <w:numId w:val="13"/>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支持统计高危新生儿，按照体重进行分组的感染率（%）、感染例次率（%）、患儿日感染率（‰）、调整日感染率（‰）、脐/中心静脉插管使用率（%）、呼吸机使用率（%）、总器械使用率（%）、脐/中心静脉插管血流感染发病率（‰）、呼吸机相关肺炎发病率（‰）。</w:t>
            </w:r>
          </w:p>
        </w:tc>
      </w:tr>
      <w:tr w14:paraId="51C9B5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51"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1665FA">
            <w:pPr>
              <w:widowControl/>
              <w:jc w:val="center"/>
              <w:rPr>
                <w:rFonts w:ascii="宋体" w:hAnsi="宋体" w:eastAsia="宋体" w:cs="宋体"/>
                <w:sz w:val="24"/>
                <w:szCs w:val="24"/>
              </w:rPr>
            </w:pPr>
            <w:r>
              <w:rPr>
                <w:rFonts w:hint="eastAsia" w:ascii="宋体" w:hAnsi="宋体" w:eastAsia="宋体" w:cs="宋体"/>
                <w:sz w:val="24"/>
                <w:szCs w:val="24"/>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52F957">
            <w:pPr>
              <w:widowControl/>
              <w:jc w:val="center"/>
              <w:rPr>
                <w:rFonts w:ascii="宋体" w:hAnsi="宋体" w:eastAsia="宋体" w:cs="宋体"/>
                <w:sz w:val="24"/>
                <w:szCs w:val="24"/>
              </w:rPr>
            </w:pPr>
            <w:r>
              <w:rPr>
                <w:rFonts w:hint="eastAsia" w:ascii="宋体" w:hAnsi="宋体" w:eastAsia="宋体" w:cs="宋体"/>
                <w:sz w:val="24"/>
                <w:szCs w:val="24"/>
                <w:lang w:val="zh-TW" w:eastAsia="zh-TW"/>
              </w:rPr>
              <w:t>抗菌药物监测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734706D">
            <w:pPr>
              <w:tabs>
                <w:tab w:val="left" w:pos="420"/>
              </w:tabs>
              <w:jc w:val="left"/>
              <w:rPr>
                <w:rFonts w:ascii="宋体" w:hAnsi="宋体" w:eastAsia="宋体" w:cs="宋体"/>
                <w:sz w:val="24"/>
                <w:szCs w:val="24"/>
              </w:rPr>
            </w:pPr>
            <w:r>
              <w:rPr>
                <w:rFonts w:hint="eastAsia" w:ascii="宋体" w:hAnsi="宋体" w:eastAsia="宋体" w:cs="宋体"/>
                <w:sz w:val="24"/>
                <w:szCs w:val="24"/>
                <w:lang w:val="zh-TW" w:eastAsia="zh-TW"/>
              </w:rPr>
              <w:t>支持可按多种条件进行查询统计，包括：</w:t>
            </w:r>
            <w:r>
              <w:rPr>
                <w:rFonts w:hint="eastAsia" w:ascii="宋体" w:hAnsi="宋体" w:eastAsia="宋体" w:cs="宋体"/>
                <w:sz w:val="24"/>
                <w:szCs w:val="24"/>
                <w:lang w:val="zh-TW"/>
              </w:rPr>
              <w:t>出院患者抗菌药物使用率、住院患者抗菌药物使用率、抗菌药物预防使用构成比、抗菌药物治疗使用构成比、出院患者人均使用抗菌药物品种数、出院患者人均使用抗菌药物天数、出院患者使用抗菌药物病原学送检率、出院患者治疗性使用抗菌药物病原学送检率、住院患者抗菌药物治疗前病原学送检率、住院患者限制使用级抗菌药物治疗前病原学送检率、住院患者特殊使用级抗菌药物治疗前病原学送检率、住院患者限制使用级抗菌药物治疗前血培养送检率、住院患者特殊使用级抗菌药物治疗前血培养送检率、住院患者使用抗菌药物治疗前指向性病原学送检率、住院患者使用抗菌药物治疗前非指向性病原学送检率。标本采集时间、抗菌药物使用时间、送检时间等细节时间点查看。</w:t>
            </w:r>
          </w:p>
        </w:tc>
      </w:tr>
      <w:tr w14:paraId="5D4CB5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51"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F6544">
            <w:pPr>
              <w:widowControl/>
              <w:jc w:val="center"/>
              <w:rPr>
                <w:rFonts w:ascii="宋体" w:hAnsi="宋体" w:eastAsia="宋体" w:cs="宋体"/>
                <w:sz w:val="24"/>
                <w:szCs w:val="24"/>
              </w:rPr>
            </w:pPr>
            <w:r>
              <w:rPr>
                <w:rFonts w:hint="eastAsia" w:ascii="宋体" w:hAnsi="宋体" w:eastAsia="宋体" w:cs="宋体"/>
                <w:sz w:val="24"/>
                <w:szCs w:val="24"/>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CB099">
            <w:pPr>
              <w:widowControl/>
              <w:jc w:val="center"/>
              <w:rPr>
                <w:rFonts w:ascii="宋体" w:hAnsi="宋体" w:eastAsia="宋体" w:cs="宋体"/>
                <w:sz w:val="24"/>
                <w:szCs w:val="24"/>
                <w:lang w:val="zh-TW" w:eastAsia="zh-TW"/>
              </w:rPr>
            </w:pPr>
            <w:r>
              <w:rPr>
                <w:rFonts w:hint="eastAsia" w:ascii="宋体" w:hAnsi="宋体" w:eastAsia="宋体" w:cs="宋体"/>
                <w:sz w:val="24"/>
                <w:szCs w:val="24"/>
                <w:lang w:val="zh-TW"/>
              </w:rPr>
              <w:t>手术感染监测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53FE80C">
            <w:pPr>
              <w:pStyle w:val="11"/>
              <w:numPr>
                <w:ilvl w:val="0"/>
                <w:numId w:val="1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支持与医院</w:t>
            </w:r>
            <w:r>
              <w:rPr>
                <w:rFonts w:hint="eastAsia" w:ascii="宋体" w:hAnsi="宋体" w:eastAsia="宋体" w:cs="宋体"/>
                <w:sz w:val="24"/>
                <w:szCs w:val="24"/>
              </w:rPr>
              <w:t xml:space="preserve">HIS </w:t>
            </w:r>
            <w:r>
              <w:rPr>
                <w:rFonts w:hint="eastAsia" w:ascii="宋体" w:hAnsi="宋体" w:eastAsia="宋体" w:cs="宋体"/>
                <w:sz w:val="24"/>
                <w:szCs w:val="24"/>
                <w:lang w:val="zh-TW" w:eastAsia="zh-TW"/>
              </w:rPr>
              <w:t>手术记录单、手术麻醉系统自动匹配手术监测相关数据；</w:t>
            </w:r>
          </w:p>
          <w:p w14:paraId="5FB607F9">
            <w:pPr>
              <w:pStyle w:val="11"/>
              <w:numPr>
                <w:ilvl w:val="0"/>
                <w:numId w:val="1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支持优先进行重点手术监测，重点监测手术可根据医院开展情况进行手术目录调整；</w:t>
            </w:r>
          </w:p>
          <w:p w14:paraId="655CBFB6">
            <w:pPr>
              <w:pStyle w:val="11"/>
              <w:numPr>
                <w:ilvl w:val="0"/>
                <w:numId w:val="1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支持手术与已上报的手术切口感染诊断自动关联；</w:t>
            </w:r>
          </w:p>
          <w:p w14:paraId="3233844E">
            <w:pPr>
              <w:pStyle w:val="11"/>
              <w:numPr>
                <w:ilvl w:val="0"/>
                <w:numId w:val="1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支持手术信息登记表信息修改补充，标红且优先显示影响统计分析的重要信息；</w:t>
            </w:r>
          </w:p>
          <w:p w14:paraId="7D678058">
            <w:pPr>
              <w:pStyle w:val="11"/>
              <w:numPr>
                <w:ilvl w:val="0"/>
                <w:numId w:val="1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支持手术信息登记表归档功能，可进行归档和撤销归档操作；</w:t>
            </w:r>
          </w:p>
          <w:p w14:paraId="06B3B246">
            <w:pPr>
              <w:pStyle w:val="11"/>
              <w:numPr>
                <w:ilvl w:val="0"/>
                <w:numId w:val="1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支持对手术用药自动匹配设定规则，选定手术后，直接一键自动匹配；</w:t>
            </w:r>
          </w:p>
          <w:p w14:paraId="36CAD61C">
            <w:pPr>
              <w:pStyle w:val="11"/>
              <w:numPr>
                <w:ilvl w:val="0"/>
                <w:numId w:val="1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支持外科手术监测多条件查询，包括：手术日期、患者姓名、申请科室、重点手术、手术操作类别、手术部位、切口等级、</w:t>
            </w:r>
            <w:r>
              <w:rPr>
                <w:rFonts w:hint="eastAsia" w:ascii="宋体" w:hAnsi="宋体" w:eastAsia="宋体" w:cs="宋体"/>
                <w:sz w:val="24"/>
                <w:szCs w:val="24"/>
                <w:lang w:val="zh-TW"/>
              </w:rPr>
              <w:t>ASA评分、</w:t>
            </w:r>
            <w:r>
              <w:rPr>
                <w:rFonts w:hint="eastAsia" w:ascii="宋体" w:hAnsi="宋体" w:eastAsia="宋体" w:cs="宋体"/>
                <w:sz w:val="24"/>
                <w:szCs w:val="24"/>
                <w:lang w:val="zh-TW" w:eastAsia="zh-TW"/>
              </w:rPr>
              <w:t>手术名称、手术医生、手术间、手术时长；</w:t>
            </w:r>
          </w:p>
          <w:p w14:paraId="1E84D03B">
            <w:pPr>
              <w:numPr>
                <w:ilvl w:val="0"/>
                <w:numId w:val="14"/>
              </w:numPr>
              <w:tabs>
                <w:tab w:val="left" w:pos="420"/>
              </w:tabs>
              <w:jc w:val="left"/>
              <w:rPr>
                <w:rFonts w:ascii="宋体" w:hAnsi="宋体" w:eastAsia="宋体" w:cs="宋体"/>
                <w:sz w:val="24"/>
                <w:szCs w:val="24"/>
                <w:lang w:val="zh-TW" w:eastAsia="zh-TW"/>
              </w:rPr>
            </w:pPr>
            <w:r>
              <w:rPr>
                <w:rFonts w:hint="eastAsia" w:ascii="宋体" w:hAnsi="宋体" w:eastAsia="宋体" w:cs="宋体"/>
                <w:sz w:val="24"/>
                <w:szCs w:val="24"/>
                <w:lang w:val="zh-TW" w:eastAsia="zh-TW"/>
              </w:rPr>
              <w:t>能够根据手术搜索条件进行多条件搜索，并查询的结果导出为</w:t>
            </w:r>
            <w:r>
              <w:rPr>
                <w:rFonts w:hint="eastAsia" w:ascii="宋体" w:hAnsi="宋体" w:eastAsia="宋体" w:cs="宋体"/>
                <w:sz w:val="24"/>
                <w:szCs w:val="24"/>
              </w:rPr>
              <w:t>xls</w:t>
            </w:r>
            <w:r>
              <w:rPr>
                <w:rFonts w:hint="eastAsia" w:ascii="宋体" w:hAnsi="宋体" w:eastAsia="宋体" w:cs="宋体"/>
                <w:sz w:val="24"/>
                <w:szCs w:val="24"/>
                <w:lang w:val="zh-TW" w:eastAsia="zh-TW"/>
              </w:rPr>
              <w:t>。</w:t>
            </w:r>
          </w:p>
          <w:p w14:paraId="68353C07">
            <w:pPr>
              <w:numPr>
                <w:ilvl w:val="0"/>
                <w:numId w:val="14"/>
              </w:numPr>
              <w:tabs>
                <w:tab w:val="left" w:pos="420"/>
              </w:tabs>
              <w:jc w:val="left"/>
              <w:rPr>
                <w:rFonts w:ascii="宋体" w:hAnsi="宋体" w:eastAsia="宋体" w:cs="宋体"/>
                <w:sz w:val="24"/>
                <w:szCs w:val="24"/>
                <w:lang w:val="zh-TW"/>
              </w:rPr>
            </w:pPr>
            <w:r>
              <w:rPr>
                <w:rFonts w:hint="eastAsia" w:ascii="宋体" w:hAnsi="宋体" w:eastAsia="宋体" w:cs="宋体"/>
                <w:sz w:val="24"/>
                <w:szCs w:val="24"/>
                <w:lang w:val="zh-TW" w:eastAsia="zh-TW"/>
              </w:rPr>
              <w:t>可按多种条件进行查询</w:t>
            </w:r>
            <w:r>
              <w:rPr>
                <w:rFonts w:hint="eastAsia" w:ascii="宋体" w:hAnsi="宋体" w:eastAsia="宋体" w:cs="宋体"/>
                <w:sz w:val="24"/>
                <w:szCs w:val="24"/>
                <w:lang w:val="zh-TW"/>
              </w:rPr>
              <w:t>月度、季度、年度、自定义时间、其他条件（</w:t>
            </w:r>
            <w:r>
              <w:rPr>
                <w:rFonts w:hint="eastAsia" w:ascii="宋体" w:hAnsi="宋体" w:eastAsia="宋体" w:cs="宋体"/>
                <w:sz w:val="24"/>
                <w:szCs w:val="24"/>
                <w:lang w:val="zh-TW" w:eastAsia="zh-TW"/>
              </w:rPr>
              <w:t>住院患者、切口等级、愈合等级、麻醉方式、手术间、感染名称、重点手术、手术操作分类、手术部位分类</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统计</w:t>
            </w:r>
            <w:r>
              <w:rPr>
                <w:rFonts w:hint="eastAsia" w:ascii="宋体" w:hAnsi="宋体" w:eastAsia="宋体" w:cs="宋体"/>
                <w:sz w:val="24"/>
                <w:szCs w:val="24"/>
                <w:lang w:val="zh-TW"/>
              </w:rPr>
              <w:t>手术相关指标</w:t>
            </w:r>
            <w:r>
              <w:rPr>
                <w:rFonts w:hint="eastAsia" w:ascii="宋体" w:hAnsi="宋体" w:eastAsia="宋体" w:cs="宋体"/>
                <w:sz w:val="24"/>
                <w:szCs w:val="24"/>
                <w:lang w:val="zh-TW" w:eastAsia="zh-TW"/>
              </w:rPr>
              <w:t>，包括：与手术相关医院感染发生率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手术部位感染发生率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手术患者肺部感染发生率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择期手术术后相关感染发生率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择期手术术后相关感染发生率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择期手术患者肺部感染发生率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急诊手术相关感染发生率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急诊手术患者肺部感染发生率</w:t>
            </w:r>
            <w:r>
              <w:rPr>
                <w:rFonts w:hint="eastAsia" w:ascii="宋体" w:hAnsi="宋体" w:eastAsia="宋体" w:cs="宋体"/>
                <w:sz w:val="24"/>
                <w:szCs w:val="24"/>
                <w:lang w:val="zh-TW"/>
              </w:rPr>
              <w:t>、</w:t>
            </w:r>
            <w:r>
              <w:rPr>
                <w:rFonts w:hint="eastAsia" w:ascii="宋体" w:hAnsi="宋体" w:eastAsia="宋体" w:cs="宋体"/>
                <w:sz w:val="24"/>
                <w:szCs w:val="24"/>
              </w:rPr>
              <w:t>NNIS</w:t>
            </w:r>
            <w:r>
              <w:rPr>
                <w:rFonts w:hint="eastAsia" w:ascii="宋体" w:hAnsi="宋体" w:eastAsia="宋体" w:cs="宋体"/>
                <w:sz w:val="24"/>
                <w:szCs w:val="24"/>
                <w:lang w:val="zh-TW" w:eastAsia="zh-TW"/>
              </w:rPr>
              <w:t>分级手术部位感染率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外科医生感染率（科室）</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外科医生感染率（医生）</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术前预防用药使用率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术中预防用药使用率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术前</w:t>
            </w:r>
            <w:r>
              <w:rPr>
                <w:rFonts w:hint="eastAsia" w:ascii="宋体" w:hAnsi="宋体" w:eastAsia="宋体" w:cs="宋体"/>
                <w:sz w:val="24"/>
                <w:szCs w:val="24"/>
              </w:rPr>
              <w:t>0.5-2</w:t>
            </w:r>
            <w:r>
              <w:rPr>
                <w:rFonts w:hint="eastAsia" w:ascii="宋体" w:hAnsi="宋体" w:eastAsia="宋体" w:cs="宋体"/>
                <w:sz w:val="24"/>
                <w:szCs w:val="24"/>
                <w:lang w:val="zh-TW" w:eastAsia="zh-TW"/>
              </w:rPr>
              <w:t>小时预防用药使用率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术前</w:t>
            </w:r>
            <w:r>
              <w:rPr>
                <w:rFonts w:hint="eastAsia" w:ascii="宋体" w:hAnsi="宋体" w:eastAsia="宋体" w:cs="宋体"/>
                <w:sz w:val="24"/>
                <w:szCs w:val="24"/>
              </w:rPr>
              <w:t>0.5-1</w:t>
            </w:r>
            <w:r>
              <w:rPr>
                <w:rFonts w:hint="eastAsia" w:ascii="宋体" w:hAnsi="宋体" w:eastAsia="宋体" w:cs="宋体"/>
                <w:sz w:val="24"/>
                <w:szCs w:val="24"/>
                <w:lang w:val="zh-TW" w:eastAsia="zh-TW"/>
              </w:rPr>
              <w:t>小时预防用药使用率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术后用药使用率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术后</w:t>
            </w:r>
            <w:r>
              <w:rPr>
                <w:rFonts w:hint="eastAsia" w:ascii="宋体" w:hAnsi="宋体" w:eastAsia="宋体" w:cs="宋体"/>
                <w:sz w:val="24"/>
                <w:szCs w:val="24"/>
              </w:rPr>
              <w:t>24</w:t>
            </w:r>
            <w:r>
              <w:rPr>
                <w:rFonts w:hint="eastAsia" w:ascii="宋体" w:hAnsi="宋体" w:eastAsia="宋体" w:cs="宋体"/>
                <w:sz w:val="24"/>
                <w:szCs w:val="24"/>
                <w:lang w:val="zh-TW" w:eastAsia="zh-TW"/>
              </w:rPr>
              <w:t>小时内停药率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术后</w:t>
            </w:r>
            <w:r>
              <w:rPr>
                <w:rFonts w:hint="eastAsia" w:ascii="宋体" w:hAnsi="宋体" w:eastAsia="宋体" w:cs="宋体"/>
                <w:sz w:val="24"/>
                <w:szCs w:val="24"/>
              </w:rPr>
              <w:t>48</w:t>
            </w:r>
            <w:r>
              <w:rPr>
                <w:rFonts w:hint="eastAsia" w:ascii="宋体" w:hAnsi="宋体" w:eastAsia="宋体" w:cs="宋体"/>
                <w:sz w:val="24"/>
                <w:szCs w:val="24"/>
                <w:lang w:val="zh-TW" w:eastAsia="zh-TW"/>
              </w:rPr>
              <w:t>小时内停药率</w:t>
            </w:r>
            <w:r>
              <w:rPr>
                <w:rFonts w:hint="eastAsia" w:ascii="宋体" w:hAnsi="宋体" w:eastAsia="宋体" w:cs="宋体"/>
                <w:sz w:val="24"/>
                <w:szCs w:val="24"/>
                <w:lang w:val="zh-TW"/>
              </w:rPr>
              <w:t>。</w:t>
            </w:r>
          </w:p>
        </w:tc>
      </w:tr>
      <w:tr w14:paraId="3AF62C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CE867D">
            <w:pPr>
              <w:widowControl/>
              <w:jc w:val="center"/>
              <w:rPr>
                <w:rFonts w:ascii="宋体" w:hAnsi="宋体" w:eastAsia="宋体" w:cs="宋体"/>
                <w:sz w:val="24"/>
                <w:szCs w:val="24"/>
              </w:rPr>
            </w:pPr>
            <w:r>
              <w:rPr>
                <w:rFonts w:hint="eastAsia" w:ascii="宋体" w:hAnsi="宋体" w:eastAsia="宋体" w:cs="宋体"/>
                <w:sz w:val="24"/>
                <w:szCs w:val="24"/>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0A43C7">
            <w:pPr>
              <w:widowControl/>
              <w:jc w:val="center"/>
              <w:rPr>
                <w:rFonts w:ascii="宋体" w:hAnsi="宋体" w:eastAsia="宋体" w:cs="宋体"/>
                <w:sz w:val="24"/>
                <w:szCs w:val="24"/>
              </w:rPr>
            </w:pPr>
            <w:r>
              <w:rPr>
                <w:rFonts w:hint="eastAsia" w:ascii="宋体" w:hAnsi="宋体" w:eastAsia="宋体" w:cs="宋体"/>
                <w:sz w:val="24"/>
                <w:szCs w:val="24"/>
                <w:lang w:val="zh-TW" w:eastAsia="zh-TW"/>
              </w:rPr>
              <w:t>全院三管监测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CD6DF05">
            <w:pPr>
              <w:pStyle w:val="11"/>
              <w:numPr>
                <w:ilvl w:val="0"/>
                <w:numId w:val="15"/>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支持进行全院各科室的侵入性操作监测日志；</w:t>
            </w:r>
          </w:p>
          <w:p w14:paraId="4A367F5C">
            <w:pPr>
              <w:pStyle w:val="11"/>
              <w:numPr>
                <w:ilvl w:val="0"/>
                <w:numId w:val="15"/>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支持进行全院各科室的侵入性操作监测月报；</w:t>
            </w:r>
          </w:p>
          <w:p w14:paraId="27C0BD45">
            <w:pPr>
              <w:pStyle w:val="11"/>
              <w:numPr>
                <w:ilvl w:val="0"/>
                <w:numId w:val="15"/>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支持自动生成新住进患者数、住在患者数、发热人数、留置导尿管使用患者数、中心静脉插管使用患者数、呼吸机使用患者数；</w:t>
            </w:r>
          </w:p>
          <w:p w14:paraId="2829D988">
            <w:pPr>
              <w:pStyle w:val="11"/>
              <w:numPr>
                <w:ilvl w:val="0"/>
                <w:numId w:val="15"/>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支持穿透监测日志中的患者数列表，可查看插管使用开始时间、结束时间、使用天数；</w:t>
            </w:r>
          </w:p>
          <w:p w14:paraId="688B0B99">
            <w:pPr>
              <w:pStyle w:val="11"/>
              <w:numPr>
                <w:ilvl w:val="0"/>
                <w:numId w:val="15"/>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提供三大插管匹配医嘱的维护界面；</w:t>
            </w:r>
          </w:p>
          <w:p w14:paraId="3948DA94">
            <w:pPr>
              <w:pStyle w:val="11"/>
              <w:numPr>
                <w:ilvl w:val="0"/>
                <w:numId w:val="15"/>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支持查看患者三管督导措施评估情况明细内容；</w:t>
            </w:r>
          </w:p>
        </w:tc>
      </w:tr>
      <w:tr w14:paraId="6E1133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075843">
            <w:pPr>
              <w:jc w:val="center"/>
              <w:rPr>
                <w:rFonts w:ascii="宋体" w:hAnsi="宋体" w:eastAsia="宋体" w:cs="宋体"/>
                <w:sz w:val="24"/>
                <w:szCs w:val="24"/>
              </w:rPr>
            </w:pPr>
            <w:r>
              <w:rPr>
                <w:rFonts w:hint="eastAsia" w:ascii="宋体" w:hAnsi="宋体" w:eastAsia="宋体" w:cs="宋体"/>
                <w:sz w:val="24"/>
                <w:szCs w:val="24"/>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1C240">
            <w:pPr>
              <w:jc w:val="center"/>
              <w:rPr>
                <w:rFonts w:ascii="宋体" w:hAnsi="宋体" w:eastAsia="宋体" w:cs="宋体"/>
                <w:sz w:val="24"/>
                <w:szCs w:val="24"/>
              </w:rPr>
            </w:pPr>
            <w:r>
              <w:rPr>
                <w:rFonts w:hint="eastAsia" w:ascii="宋体" w:hAnsi="宋体" w:eastAsia="宋体" w:cs="宋体"/>
                <w:sz w:val="24"/>
                <w:szCs w:val="24"/>
              </w:rPr>
              <w:t>插管风险评估</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7160F21">
            <w:pPr>
              <w:pStyle w:val="11"/>
              <w:numPr>
                <w:ilvl w:val="0"/>
                <w:numId w:val="16"/>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w:t>
            </w:r>
            <w:r>
              <w:rPr>
                <w:rFonts w:hint="eastAsia" w:ascii="宋体" w:hAnsi="宋体" w:eastAsia="宋体" w:cs="宋体"/>
                <w:sz w:val="24"/>
                <w:szCs w:val="24"/>
                <w:lang w:val="zh-TW"/>
              </w:rPr>
              <w:t>感控管理端以及临床科室打开</w:t>
            </w:r>
            <w:r>
              <w:rPr>
                <w:rFonts w:hint="eastAsia" w:ascii="宋体" w:hAnsi="宋体" w:eastAsia="宋体" w:cs="宋体"/>
                <w:sz w:val="24"/>
                <w:szCs w:val="24"/>
                <w:lang w:val="zh-TW" w:eastAsia="zh-TW"/>
              </w:rPr>
              <w:t>系统便可看到插管未评估患者人数，点击进行未评估的具体科室与人员清单；</w:t>
            </w:r>
          </w:p>
          <w:p w14:paraId="344F44D3">
            <w:pPr>
              <w:pStyle w:val="11"/>
              <w:numPr>
                <w:ilvl w:val="0"/>
                <w:numId w:val="16"/>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支持点击插管患者后，直观展示患者的插管自然日历表，分析的结果来自患者三管的医嘱执行情况；</w:t>
            </w:r>
          </w:p>
          <w:p w14:paraId="60101257">
            <w:pPr>
              <w:pStyle w:val="11"/>
              <w:numPr>
                <w:ilvl w:val="0"/>
                <w:numId w:val="16"/>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插管日历表以红底白字表示患者插管但未评估，以白底</w:t>
            </w:r>
            <w:r>
              <w:rPr>
                <w:rFonts w:hint="eastAsia" w:ascii="宋体" w:hAnsi="宋体" w:eastAsia="宋体" w:cs="宋体"/>
                <w:sz w:val="24"/>
                <w:szCs w:val="24"/>
              </w:rPr>
              <w:t>蓝</w:t>
            </w:r>
            <w:r>
              <w:rPr>
                <w:rFonts w:hint="eastAsia" w:ascii="宋体" w:hAnsi="宋体" w:eastAsia="宋体" w:cs="宋体"/>
                <w:sz w:val="24"/>
                <w:szCs w:val="24"/>
                <w:lang w:val="zh-TW" w:eastAsia="zh-TW"/>
              </w:rPr>
              <w:t>字表示患者插管已评估；</w:t>
            </w:r>
          </w:p>
          <w:p w14:paraId="639C7C94">
            <w:pPr>
              <w:pStyle w:val="11"/>
              <w:numPr>
                <w:ilvl w:val="0"/>
                <w:numId w:val="16"/>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插管指征评估操作可由临床人员进行每日评估，系统不限定具体评估的人员角色；</w:t>
            </w:r>
          </w:p>
          <w:p w14:paraId="056425F7">
            <w:pPr>
              <w:pStyle w:val="11"/>
              <w:numPr>
                <w:ilvl w:val="0"/>
                <w:numId w:val="16"/>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插管指征评估表可随医院具体开展评估内容自由灵活设定，设定后立即生效；</w:t>
            </w:r>
          </w:p>
        </w:tc>
      </w:tr>
      <w:tr w14:paraId="212C9E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9B7CA">
            <w:pPr>
              <w:widowControl/>
              <w:jc w:val="center"/>
              <w:rPr>
                <w:rFonts w:ascii="宋体" w:hAnsi="宋体" w:eastAsia="宋体" w:cs="宋体"/>
                <w:sz w:val="24"/>
                <w:szCs w:val="24"/>
              </w:rPr>
            </w:pPr>
            <w:r>
              <w:rPr>
                <w:rFonts w:hint="eastAsia" w:ascii="宋体" w:hAnsi="宋体" w:eastAsia="宋体" w:cs="宋体"/>
                <w:sz w:val="24"/>
                <w:szCs w:val="24"/>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C7775">
            <w:pPr>
              <w:widowControl/>
              <w:jc w:val="center"/>
              <w:rPr>
                <w:rFonts w:ascii="宋体" w:hAnsi="宋体" w:eastAsia="宋体" w:cs="宋体"/>
                <w:sz w:val="24"/>
                <w:szCs w:val="24"/>
              </w:rPr>
            </w:pPr>
            <w:r>
              <w:rPr>
                <w:rFonts w:hint="eastAsia" w:ascii="宋体" w:hAnsi="宋体" w:eastAsia="宋体" w:cs="宋体"/>
                <w:sz w:val="24"/>
                <w:szCs w:val="24"/>
                <w:lang w:val="zh-TW" w:eastAsia="zh-TW"/>
              </w:rPr>
              <w:t>消毒灭菌</w:t>
            </w:r>
            <w:r>
              <w:rPr>
                <w:rFonts w:hint="eastAsia" w:ascii="宋体" w:hAnsi="宋体" w:eastAsia="宋体" w:cs="宋体"/>
                <w:sz w:val="24"/>
                <w:szCs w:val="24"/>
              </w:rPr>
              <w:t>、环境卫生学监测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BBF8A62">
            <w:pPr>
              <w:pStyle w:val="11"/>
              <w:numPr>
                <w:ilvl w:val="0"/>
                <w:numId w:val="1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支持对空气、物表、手卫生、医疗器械、消毒物品、灭菌物品、一次性物品、污水等项目监测单申请，并支持全院联网查看监测项目和监测结果</w:t>
            </w:r>
            <w:r>
              <w:rPr>
                <w:rFonts w:hint="eastAsia" w:ascii="宋体" w:hAnsi="宋体" w:eastAsia="宋体" w:cs="宋体"/>
                <w:sz w:val="24"/>
                <w:szCs w:val="24"/>
                <w:lang w:val="zh-TW"/>
              </w:rPr>
              <w:t>；</w:t>
            </w:r>
          </w:p>
          <w:p w14:paraId="2E2CCB5D">
            <w:pPr>
              <w:pStyle w:val="11"/>
              <w:numPr>
                <w:ilvl w:val="0"/>
                <w:numId w:val="1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支持临床科室监测项目自查与感控科抽查工作，可根据医院监测流程进行配置；</w:t>
            </w:r>
          </w:p>
          <w:p w14:paraId="078268B5">
            <w:pPr>
              <w:pStyle w:val="11"/>
              <w:numPr>
                <w:ilvl w:val="0"/>
                <w:numId w:val="1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监测单据直接查看送检科室、监测项目、监测类型、采样场所、采样标本、采样点数、采样点位、采样方法、采样人、采样日期、检验日期、检验人、检验结果、是否需要复查；</w:t>
            </w:r>
          </w:p>
          <w:p w14:paraId="30F7AAE4">
            <w:pPr>
              <w:pStyle w:val="11"/>
              <w:numPr>
                <w:ilvl w:val="0"/>
                <w:numId w:val="1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支持对常用监测内容保存为常用模板，方便后续使用，常用模板支持科室级、全院级；</w:t>
            </w:r>
          </w:p>
          <w:p w14:paraId="2863BD14">
            <w:pPr>
              <w:pStyle w:val="11"/>
              <w:numPr>
                <w:ilvl w:val="0"/>
                <w:numId w:val="1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支持监测结果报告单支持全院联网打印，以及在线查看监测结果报告；</w:t>
            </w:r>
          </w:p>
          <w:p w14:paraId="15597059">
            <w:pPr>
              <w:pStyle w:val="11"/>
              <w:numPr>
                <w:ilvl w:val="0"/>
                <w:numId w:val="1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具有独立的监测授权管理模块，灵活设定单个用户管辖多科室、监测项目授权等，与系统基础用户授权不冲突；</w:t>
            </w:r>
          </w:p>
          <w:p w14:paraId="2337D622">
            <w:pPr>
              <w:pStyle w:val="11"/>
              <w:numPr>
                <w:ilvl w:val="0"/>
                <w:numId w:val="17"/>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可根据医院情况，在标准上修改、增加环境卫生消毒灭菌监测项目、监测标准、采样场所、采样标本、采样方法、采样点等相关的字典数据；</w:t>
            </w:r>
          </w:p>
          <w:p w14:paraId="301E9AFD">
            <w:pPr>
              <w:numPr>
                <w:ilvl w:val="0"/>
                <w:numId w:val="17"/>
              </w:numPr>
              <w:tabs>
                <w:tab w:val="left" w:pos="420"/>
              </w:tabs>
              <w:jc w:val="left"/>
              <w:rPr>
                <w:rFonts w:ascii="宋体" w:hAnsi="宋体" w:eastAsia="宋体" w:cs="宋体"/>
                <w:sz w:val="24"/>
                <w:szCs w:val="24"/>
                <w:lang w:val="zh-TW" w:eastAsia="zh-TW"/>
              </w:rPr>
            </w:pPr>
            <w:r>
              <w:rPr>
                <w:rFonts w:hint="eastAsia" w:ascii="宋体" w:hAnsi="宋体" w:eastAsia="宋体" w:cs="宋体"/>
                <w:sz w:val="24"/>
                <w:szCs w:val="24"/>
                <w:lang w:val="zh-TW" w:eastAsia="zh-TW"/>
              </w:rPr>
              <w:t>支持自动按照监测项目类别、监测科室统计分析监测数目数、合格数、合格率、不合格数、不合格率。</w:t>
            </w:r>
          </w:p>
        </w:tc>
      </w:tr>
      <w:tr w14:paraId="65BAF4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9014A">
            <w:pPr>
              <w:widowControl/>
              <w:jc w:val="center"/>
              <w:rPr>
                <w:rFonts w:ascii="宋体" w:hAnsi="宋体" w:eastAsia="宋体" w:cs="宋体"/>
                <w:sz w:val="24"/>
                <w:szCs w:val="24"/>
              </w:rPr>
            </w:pPr>
            <w:r>
              <w:rPr>
                <w:rFonts w:hint="eastAsia" w:ascii="宋体" w:hAnsi="宋体" w:eastAsia="宋体" w:cs="宋体"/>
                <w:sz w:val="24"/>
                <w:szCs w:val="24"/>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34B2D">
            <w:pPr>
              <w:widowControl/>
              <w:jc w:val="center"/>
              <w:rPr>
                <w:rFonts w:ascii="宋体" w:hAnsi="宋体" w:eastAsia="宋体" w:cs="宋体"/>
                <w:sz w:val="24"/>
                <w:szCs w:val="24"/>
              </w:rPr>
            </w:pPr>
            <w:r>
              <w:rPr>
                <w:rFonts w:hint="eastAsia" w:ascii="宋体" w:hAnsi="宋体" w:eastAsia="宋体" w:cs="宋体"/>
                <w:sz w:val="24"/>
                <w:szCs w:val="24"/>
                <w:lang w:val="zh-TW" w:eastAsia="zh-TW"/>
              </w:rPr>
              <w:t>职业暴露</w:t>
            </w:r>
            <w:r>
              <w:rPr>
                <w:rFonts w:hint="eastAsia" w:ascii="宋体" w:hAnsi="宋体" w:eastAsia="宋体" w:cs="宋体"/>
                <w:sz w:val="24"/>
                <w:szCs w:val="24"/>
              </w:rPr>
              <w:t>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517C847">
            <w:pPr>
              <w:pStyle w:val="11"/>
              <w:numPr>
                <w:ilvl w:val="0"/>
                <w:numId w:val="1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支持医务人员及护工进行职业暴露内容的信息登记填写</w:t>
            </w:r>
            <w:r>
              <w:rPr>
                <w:rFonts w:hint="eastAsia" w:ascii="宋体" w:hAnsi="宋体" w:eastAsia="宋体" w:cs="宋体"/>
                <w:sz w:val="24"/>
                <w:szCs w:val="24"/>
                <w:lang w:val="zh-TW"/>
              </w:rPr>
              <w:t>；</w:t>
            </w:r>
          </w:p>
          <w:p w14:paraId="1C6B17D9">
            <w:pPr>
              <w:pStyle w:val="11"/>
              <w:numPr>
                <w:ilvl w:val="0"/>
                <w:numId w:val="1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支持《WS/T 312-2023医院感染监测规范》要求的医院工作人员感染性疾病职业暴露登记表填写上报</w:t>
            </w:r>
          </w:p>
          <w:p w14:paraId="537EA152">
            <w:pPr>
              <w:pStyle w:val="11"/>
              <w:numPr>
                <w:ilvl w:val="0"/>
                <w:numId w:val="1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支持暴露填报前告知《职业暴露的标准处置流程》及《职业暴露的处置制度》，要求暴露填报人员在线掌握了解，告知内容可随医院定制性调整；</w:t>
            </w:r>
          </w:p>
          <w:p w14:paraId="3BFF9730">
            <w:pPr>
              <w:pStyle w:val="11"/>
              <w:numPr>
                <w:ilvl w:val="0"/>
                <w:numId w:val="1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支持填报职业暴露登记表后，在感控管理端上实时提示新暴露填报消息；</w:t>
            </w:r>
          </w:p>
          <w:p w14:paraId="5757E274">
            <w:pPr>
              <w:pStyle w:val="11"/>
              <w:numPr>
                <w:ilvl w:val="0"/>
                <w:numId w:val="1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支持职业暴露信息登记、评估预防、临床观察、临床诊断完整随访闭环，感染性疾病科医生可对评估预防操作，支持跨部门联网的评估跟踪；</w:t>
            </w:r>
          </w:p>
          <w:p w14:paraId="61976A0F">
            <w:pPr>
              <w:pStyle w:val="11"/>
              <w:numPr>
                <w:ilvl w:val="0"/>
                <w:numId w:val="1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支持对检验复查项目多时间点设定，</w:t>
            </w:r>
            <w:r>
              <w:rPr>
                <w:rFonts w:hint="eastAsia" w:ascii="宋体" w:hAnsi="宋体" w:eastAsia="宋体" w:cs="宋体"/>
                <w:sz w:val="24"/>
                <w:szCs w:val="24"/>
                <w:lang w:val="zh-TW"/>
              </w:rPr>
              <w:t>在监测面板首页显示当前暴露需进行复查人员提醒，钻取后展示需复查人员姓名、发生科室、暴露人员所属科室、暴露时间、检查项目、复查时间、上次复查时间</w:t>
            </w:r>
            <w:r>
              <w:rPr>
                <w:rFonts w:hint="eastAsia" w:ascii="宋体" w:hAnsi="宋体" w:eastAsia="宋体" w:cs="宋体"/>
                <w:sz w:val="24"/>
                <w:szCs w:val="24"/>
                <w:lang w:val="zh-TW" w:eastAsia="zh-TW"/>
              </w:rPr>
              <w:t>；</w:t>
            </w:r>
          </w:p>
          <w:p w14:paraId="08CCAD33">
            <w:pPr>
              <w:pStyle w:val="11"/>
              <w:numPr>
                <w:ilvl w:val="0"/>
                <w:numId w:val="1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支持按照科室统计职业暴露情况，并计算科室构成比；</w:t>
            </w:r>
          </w:p>
          <w:p w14:paraId="2F1D38A6">
            <w:pPr>
              <w:pStyle w:val="11"/>
              <w:numPr>
                <w:ilvl w:val="0"/>
                <w:numId w:val="1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支持按工别、年龄、性别等内容计算科室构成比</w:t>
            </w:r>
            <w:r>
              <w:rPr>
                <w:rFonts w:hint="eastAsia" w:ascii="宋体" w:hAnsi="宋体" w:eastAsia="宋体" w:cs="宋体"/>
                <w:sz w:val="24"/>
                <w:szCs w:val="24"/>
                <w:lang w:val="zh-TW"/>
              </w:rPr>
              <w:t>；</w:t>
            </w:r>
          </w:p>
          <w:p w14:paraId="0F12F7D9">
            <w:pPr>
              <w:pStyle w:val="11"/>
              <w:numPr>
                <w:ilvl w:val="0"/>
                <w:numId w:val="18"/>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支持自动统计职业暴露感染率、职业暴露（例次）率。</w:t>
            </w:r>
          </w:p>
        </w:tc>
      </w:tr>
      <w:tr w14:paraId="6E62A3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1"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42ED4D">
            <w:pPr>
              <w:widowControl/>
              <w:jc w:val="center"/>
              <w:rPr>
                <w:rFonts w:ascii="宋体" w:hAnsi="宋体" w:eastAsia="宋体" w:cs="宋体"/>
                <w:sz w:val="24"/>
                <w:szCs w:val="24"/>
              </w:rPr>
            </w:pPr>
            <w:r>
              <w:rPr>
                <w:rFonts w:hint="eastAsia" w:ascii="宋体" w:hAnsi="宋体" w:eastAsia="宋体" w:cs="宋体"/>
                <w:sz w:val="24"/>
                <w:szCs w:val="24"/>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68727">
            <w:pPr>
              <w:widowControl/>
              <w:jc w:val="center"/>
              <w:rPr>
                <w:rFonts w:ascii="宋体" w:hAnsi="宋体" w:eastAsia="宋体" w:cs="宋体"/>
                <w:sz w:val="24"/>
                <w:szCs w:val="24"/>
              </w:rPr>
            </w:pPr>
            <w:r>
              <w:rPr>
                <w:rFonts w:hint="eastAsia" w:ascii="宋体" w:hAnsi="宋体" w:eastAsia="宋体" w:cs="宋体"/>
                <w:sz w:val="24"/>
                <w:szCs w:val="24"/>
                <w:lang w:val="zh-TW" w:eastAsia="zh-TW"/>
              </w:rPr>
              <w:t>手卫生监测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3CBB763">
            <w:pPr>
              <w:pStyle w:val="11"/>
              <w:numPr>
                <w:ilvl w:val="0"/>
                <w:numId w:val="1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掌握全院各科室手卫生用品消耗量情况，如手消毒液、抗菌洗手液、干手纸，分析手卫生依从性的，协同促进医务人员手卫生执行的依从率；</w:t>
            </w:r>
          </w:p>
          <w:p w14:paraId="49473119">
            <w:pPr>
              <w:pStyle w:val="11"/>
              <w:numPr>
                <w:ilvl w:val="0"/>
                <w:numId w:val="1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支持临床感控兼职人员进行本科科室用品本月领取量和库存量的在线录入；</w:t>
            </w:r>
          </w:p>
          <w:p w14:paraId="4B3367A5">
            <w:pPr>
              <w:pStyle w:val="11"/>
              <w:numPr>
                <w:ilvl w:val="0"/>
                <w:numId w:val="1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支持在线完成手卫生依从性调查，包括被调查人员类型、时机、指征、手卫生行为、正确性；</w:t>
            </w:r>
          </w:p>
          <w:p w14:paraId="0E1BFD6F">
            <w:pPr>
              <w:pStyle w:val="11"/>
              <w:numPr>
                <w:ilvl w:val="0"/>
                <w:numId w:val="1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支持设定临床自查手卫生依从性的开放数据录入时间段；</w:t>
            </w:r>
          </w:p>
          <w:p w14:paraId="62D652A7">
            <w:pPr>
              <w:pStyle w:val="11"/>
              <w:numPr>
                <w:ilvl w:val="0"/>
                <w:numId w:val="1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支持维护设定特定科室的手卫生依从性调查指征，如：外科手卫生依从性调查监测设定单独的调查指征与手卫生行为；</w:t>
            </w:r>
          </w:p>
          <w:p w14:paraId="532DCDDF">
            <w:pPr>
              <w:pStyle w:val="11"/>
              <w:numPr>
                <w:ilvl w:val="0"/>
                <w:numId w:val="19"/>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支持调查完成后，对本次调查结果进行回顾性分析，如医护人员手卫生意识低等内容；</w:t>
            </w:r>
          </w:p>
          <w:p w14:paraId="1F3FD1DC">
            <w:pPr>
              <w:pStyle w:val="11"/>
              <w:numPr>
                <w:ilvl w:val="0"/>
                <w:numId w:val="19"/>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支持按科室、人员类型、指征、时机多类型进行统计分析</w:t>
            </w:r>
            <w:r>
              <w:rPr>
                <w:rFonts w:hint="eastAsia" w:ascii="宋体" w:hAnsi="宋体" w:eastAsia="宋体" w:cs="宋体"/>
                <w:sz w:val="24"/>
                <w:szCs w:val="24"/>
                <w:lang w:val="zh-TW"/>
              </w:rPr>
              <w:t>。</w:t>
            </w:r>
          </w:p>
        </w:tc>
      </w:tr>
      <w:tr w14:paraId="361A60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51"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0FFD8">
            <w:pPr>
              <w:widowControl/>
              <w:jc w:val="center"/>
              <w:rPr>
                <w:rFonts w:ascii="宋体" w:hAnsi="宋体" w:eastAsia="宋体" w:cs="宋体"/>
                <w:sz w:val="24"/>
                <w:szCs w:val="24"/>
              </w:rPr>
            </w:pPr>
            <w:r>
              <w:rPr>
                <w:rFonts w:hint="eastAsia" w:ascii="宋体" w:hAnsi="宋体" w:eastAsia="宋体" w:cs="宋体"/>
                <w:sz w:val="24"/>
                <w:szCs w:val="24"/>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3E6FF">
            <w:pPr>
              <w:widowControl/>
              <w:jc w:val="center"/>
              <w:rPr>
                <w:rFonts w:ascii="宋体" w:hAnsi="宋体" w:eastAsia="宋体" w:cs="宋体"/>
                <w:sz w:val="24"/>
                <w:szCs w:val="24"/>
                <w:lang w:val="zh-TW" w:eastAsia="zh-TW"/>
              </w:rPr>
            </w:pPr>
            <w:r>
              <w:rPr>
                <w:rFonts w:hint="eastAsia" w:ascii="宋体" w:hAnsi="宋体" w:eastAsia="宋体" w:cs="宋体"/>
                <w:sz w:val="24"/>
                <w:szCs w:val="24"/>
                <w:lang w:val="zh-TW" w:eastAsia="zh-TW"/>
              </w:rPr>
              <w:t>血透监测</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AC1A332">
            <w:pPr>
              <w:pStyle w:val="11"/>
              <w:numPr>
                <w:ilvl w:val="0"/>
                <w:numId w:val="20"/>
              </w:numPr>
              <w:tabs>
                <w:tab w:val="left" w:pos="420"/>
              </w:tabs>
              <w:ind w:firstLineChars="0"/>
              <w:jc w:val="left"/>
              <w:rPr>
                <w:rFonts w:ascii="宋体" w:hAnsi="宋体" w:eastAsia="宋体" w:cs="宋体"/>
                <w:sz w:val="24"/>
                <w:szCs w:val="24"/>
                <w:lang w:val="zh-TW" w:eastAsia="zh-TW"/>
              </w:rPr>
            </w:pPr>
            <w:r>
              <w:rPr>
                <w:rFonts w:hint="eastAsia" w:ascii="宋体" w:hAnsi="宋体" w:eastAsia="宋体" w:cs="宋体"/>
                <w:sz w:val="24"/>
                <w:szCs w:val="24"/>
                <w:lang w:val="zh-TW" w:eastAsia="zh-TW"/>
              </w:rPr>
              <w:t>支持血透患者感染监测信息登记及上报，信息包括：患者基本信息、血透频率（曾经在几所医院接受过血透、当前每周几次血透、感染时血透机号、透析日期、累计透析次数）、透析前检查项目及时间、透析中复查项目及时间、感染日期、感染部位、相关病原学检查、相关抗菌药物使用情况；</w:t>
            </w:r>
          </w:p>
          <w:p w14:paraId="019E97D9">
            <w:pPr>
              <w:pStyle w:val="11"/>
              <w:widowControl/>
              <w:numPr>
                <w:ilvl w:val="0"/>
                <w:numId w:val="20"/>
              </w:numPr>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血液透析室血透日志的登记，登记信息包括：新入血液透析人次数、已在血液透析人次数、透析路径内瘘人次数、长期置管人数、临时置管人数、相关导管相关血流感染性操作人次数、乙肝丙肝等病毒感染人次数、其他医院感染人次数。</w:t>
            </w:r>
          </w:p>
          <w:p w14:paraId="3C341BC6">
            <w:pPr>
              <w:pStyle w:val="11"/>
              <w:widowControl/>
              <w:numPr>
                <w:ilvl w:val="0"/>
                <w:numId w:val="20"/>
              </w:numPr>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支持对依据国家卫生健康委员会发布的《医院感染监测标准》(WS/T 312-2023)，要求医疗机构监测血液透析感染事件发生情况，包括使用抗菌药物（包括口服、肌注和静脉使用所有抗细菌药物和抗真菌药物）、血培养阳性和血管通路部位出现脓液、发红或肿胀加剧 3 类。血液透析患者血源性病原体感染监测，血液透析患者血源性病原体感染情况筛查、复查，监测病原体包括 HBV、HCV、HIV、梅毒螺旋体，统计四类传染病标志物检验完成率及阳转率。</w:t>
            </w:r>
          </w:p>
        </w:tc>
      </w:tr>
      <w:tr w14:paraId="743150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FED203">
            <w:pPr>
              <w:jc w:val="center"/>
              <w:rPr>
                <w:rFonts w:ascii="宋体" w:hAnsi="宋体" w:eastAsia="宋体" w:cs="宋体"/>
                <w:sz w:val="24"/>
                <w:szCs w:val="24"/>
              </w:rPr>
            </w:pPr>
            <w:r>
              <w:rPr>
                <w:rFonts w:hint="eastAsia" w:ascii="宋体" w:hAnsi="宋体" w:eastAsia="宋体" w:cs="宋体"/>
                <w:sz w:val="24"/>
                <w:szCs w:val="24"/>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CB8745">
            <w:pPr>
              <w:jc w:val="center"/>
              <w:rPr>
                <w:rFonts w:ascii="宋体" w:hAnsi="宋体" w:eastAsia="宋体" w:cs="宋体"/>
                <w:sz w:val="24"/>
                <w:szCs w:val="24"/>
              </w:rPr>
            </w:pPr>
            <w:r>
              <w:rPr>
                <w:rFonts w:hint="eastAsia" w:ascii="宋体" w:hAnsi="宋体" w:eastAsia="宋体" w:cs="宋体"/>
                <w:sz w:val="24"/>
                <w:szCs w:val="24"/>
              </w:rPr>
              <w:t>医院感染管理质量控制十三项指标（2015年版）</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911352A">
            <w:pPr>
              <w:tabs>
                <w:tab w:val="left" w:pos="420"/>
              </w:tabs>
              <w:jc w:val="left"/>
              <w:rPr>
                <w:rFonts w:ascii="宋体" w:hAnsi="宋体" w:eastAsia="宋体" w:cs="宋体"/>
                <w:sz w:val="24"/>
                <w:szCs w:val="24"/>
                <w:lang w:val="zh-TW" w:eastAsia="zh-TW"/>
              </w:rPr>
            </w:pPr>
            <w:r>
              <w:rPr>
                <w:rFonts w:hint="eastAsia" w:ascii="宋体" w:hAnsi="宋体" w:eastAsia="宋体" w:cs="宋体"/>
                <w:sz w:val="24"/>
                <w:szCs w:val="24"/>
                <w:lang w:val="zh-TW" w:eastAsia="zh-TW"/>
              </w:rPr>
              <w:t>支持按住院患者</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时间段</w:t>
            </w:r>
            <w:r>
              <w:rPr>
                <w:rFonts w:hint="eastAsia" w:ascii="宋体" w:hAnsi="宋体" w:eastAsia="宋体" w:cs="宋体"/>
                <w:sz w:val="24"/>
                <w:szCs w:val="24"/>
              </w:rPr>
              <w:t>进行</w:t>
            </w:r>
            <w:r>
              <w:rPr>
                <w:rFonts w:hint="eastAsia" w:ascii="宋体" w:hAnsi="宋体" w:eastAsia="宋体" w:cs="宋体"/>
                <w:sz w:val="24"/>
                <w:szCs w:val="24"/>
                <w:lang w:val="zh-TW" w:eastAsia="zh-TW"/>
              </w:rPr>
              <w:t>查询统计：医院感染发病（例次）率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医院感染现患（例次）率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医院感染病例漏报率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多重耐药菌感染发现率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多重耐药菌检出率</w:t>
            </w:r>
            <w:r>
              <w:rPr>
                <w:rFonts w:hint="eastAsia" w:ascii="宋体" w:hAnsi="宋体" w:eastAsia="宋体" w:cs="宋体"/>
                <w:sz w:val="24"/>
                <w:szCs w:val="24"/>
                <w:lang w:val="zh-TW"/>
              </w:rPr>
              <w:t>、医务人员手卫生依从率、</w:t>
            </w:r>
            <w:r>
              <w:rPr>
                <w:rFonts w:hint="eastAsia" w:ascii="宋体" w:hAnsi="宋体" w:eastAsia="宋体" w:cs="宋体"/>
                <w:sz w:val="24"/>
                <w:szCs w:val="24"/>
                <w:lang w:val="zh-TW" w:eastAsia="zh-TW"/>
              </w:rPr>
              <w:t>住院患者抗菌药物使用率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抗菌药物治疗前病原学送检率</w:t>
            </w:r>
            <w:r>
              <w:rPr>
                <w:rFonts w:hint="eastAsia" w:ascii="宋体" w:hAnsi="宋体" w:eastAsia="宋体" w:cs="宋体"/>
                <w:sz w:val="24"/>
                <w:szCs w:val="24"/>
                <w:lang w:val="zh-TW"/>
              </w:rPr>
              <w:t>、</w:t>
            </w:r>
            <w:r>
              <w:rPr>
                <w:rFonts w:hint="eastAsia" w:ascii="宋体" w:hAnsi="宋体" w:eastAsia="宋体" w:cs="宋体"/>
                <w:sz w:val="24"/>
                <w:szCs w:val="24"/>
              </w:rPr>
              <w:t>Ⅰ</w:t>
            </w:r>
            <w:r>
              <w:rPr>
                <w:rFonts w:hint="eastAsia" w:ascii="宋体" w:hAnsi="宋体" w:eastAsia="宋体" w:cs="宋体"/>
                <w:sz w:val="24"/>
                <w:szCs w:val="24"/>
                <w:lang w:val="zh-TW" w:eastAsia="zh-TW"/>
              </w:rPr>
              <w:t>类切口手术部位感染率</w:t>
            </w:r>
            <w:r>
              <w:rPr>
                <w:rFonts w:hint="eastAsia" w:ascii="宋体" w:hAnsi="宋体" w:eastAsia="宋体" w:cs="宋体"/>
                <w:sz w:val="24"/>
                <w:szCs w:val="24"/>
                <w:lang w:val="zh-TW"/>
              </w:rPr>
              <w:t>、</w:t>
            </w:r>
            <w:r>
              <w:rPr>
                <w:rFonts w:hint="eastAsia" w:ascii="宋体" w:hAnsi="宋体" w:eastAsia="宋体" w:cs="宋体"/>
                <w:sz w:val="24"/>
                <w:szCs w:val="24"/>
              </w:rPr>
              <w:t>Ⅰ</w:t>
            </w:r>
            <w:r>
              <w:rPr>
                <w:rFonts w:hint="eastAsia" w:ascii="宋体" w:hAnsi="宋体" w:eastAsia="宋体" w:cs="宋体"/>
                <w:sz w:val="24"/>
                <w:szCs w:val="24"/>
                <w:lang w:val="zh-TW" w:eastAsia="zh-TW"/>
              </w:rPr>
              <w:t>类切口手术抗菌药物预防使用率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血管内导管相关血流感染发病率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呼吸机相关肺炎发病率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导尿管相关泌尿系统感染发病率</w:t>
            </w:r>
          </w:p>
        </w:tc>
      </w:tr>
      <w:tr w14:paraId="0451AF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EDA3DF">
            <w:pPr>
              <w:jc w:val="center"/>
              <w:rPr>
                <w:rFonts w:ascii="宋体" w:hAnsi="宋体" w:eastAsia="宋体" w:cs="宋体"/>
                <w:sz w:val="24"/>
                <w:szCs w:val="24"/>
              </w:rPr>
            </w:pPr>
            <w:r>
              <w:rPr>
                <w:rFonts w:hint="eastAsia" w:ascii="宋体" w:hAnsi="宋体" w:eastAsia="宋体" w:cs="宋体"/>
                <w:sz w:val="24"/>
                <w:szCs w:val="24"/>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B474F6">
            <w:pPr>
              <w:jc w:val="center"/>
              <w:rPr>
                <w:rFonts w:ascii="宋体" w:hAnsi="宋体" w:eastAsia="宋体" w:cs="宋体"/>
                <w:sz w:val="24"/>
                <w:szCs w:val="24"/>
              </w:rPr>
            </w:pPr>
            <w:r>
              <w:rPr>
                <w:rFonts w:hint="eastAsia" w:ascii="宋体" w:hAnsi="宋体" w:eastAsia="宋体" w:cs="宋体"/>
                <w:sz w:val="24"/>
                <w:szCs w:val="24"/>
              </w:rPr>
              <w:t>医院感染管理医疗质量控制十二项指标（2024年版）</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2F7B7C4">
            <w:pPr>
              <w:tabs>
                <w:tab w:val="left" w:pos="420"/>
              </w:tabs>
              <w:jc w:val="left"/>
              <w:rPr>
                <w:rFonts w:ascii="宋体" w:hAnsi="宋体" w:eastAsia="宋体" w:cs="宋体"/>
                <w:sz w:val="24"/>
                <w:szCs w:val="24"/>
                <w:lang w:val="zh-TW" w:eastAsia="zh-TW"/>
              </w:rPr>
            </w:pPr>
            <w:r>
              <w:rPr>
                <w:rFonts w:hint="eastAsia" w:ascii="宋体" w:hAnsi="宋体" w:eastAsia="宋体" w:cs="宋体"/>
                <w:sz w:val="24"/>
                <w:szCs w:val="24"/>
                <w:lang w:val="zh-TW" w:eastAsia="zh-TW"/>
              </w:rPr>
              <w:t>支持按住院患者、时间段进行查询统计：感控专职人员床位比、医疗机构工作人员手卫生依从率、千日医院感染例次发病率、新生儿千日医院感染例次发病率、千日特定多重耐药菌医院感染例次发病率、住院患者联合使用重点抗菌药物治疗前病原学送检率、住院患者Ⅰ类切口手术抗菌药物预防使用率、住院患者Ⅰ类切口手术部位感染率、血管导管相关血流感染发病率、呼吸机相关肺炎发病率、导尿管相关尿路感染发病率、血液透析相关感染发生率</w:t>
            </w:r>
          </w:p>
        </w:tc>
      </w:tr>
      <w:tr w14:paraId="5FE13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B72434">
            <w:pPr>
              <w:jc w:val="center"/>
              <w:rPr>
                <w:rFonts w:ascii="宋体" w:hAnsi="宋体" w:eastAsia="宋体" w:cs="宋体"/>
                <w:sz w:val="24"/>
                <w:szCs w:val="24"/>
              </w:rPr>
            </w:pPr>
            <w:r>
              <w:rPr>
                <w:rFonts w:hint="eastAsia" w:ascii="宋体" w:hAnsi="宋体" w:eastAsia="宋体" w:cs="宋体"/>
                <w:sz w:val="24"/>
                <w:szCs w:val="24"/>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4BBBA">
            <w:pPr>
              <w:jc w:val="center"/>
              <w:rPr>
                <w:rFonts w:ascii="宋体" w:hAnsi="宋体" w:eastAsia="宋体" w:cs="宋体"/>
                <w:sz w:val="24"/>
                <w:szCs w:val="24"/>
              </w:rPr>
            </w:pPr>
            <w:r>
              <w:rPr>
                <w:rFonts w:hint="eastAsia" w:ascii="宋体" w:hAnsi="宋体" w:eastAsia="宋体" w:cs="宋体"/>
                <w:sz w:val="24"/>
                <w:szCs w:val="24"/>
              </w:rPr>
              <w:t>提升抗菌药物治疗前病原学送检率哨点医院专项行动指标统计</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FD2AA6F">
            <w:pPr>
              <w:tabs>
                <w:tab w:val="left" w:pos="420"/>
              </w:tabs>
              <w:jc w:val="left"/>
              <w:rPr>
                <w:rFonts w:ascii="宋体" w:hAnsi="宋体" w:eastAsia="宋体" w:cs="宋体"/>
                <w:sz w:val="24"/>
                <w:szCs w:val="24"/>
              </w:rPr>
            </w:pPr>
            <w:r>
              <w:rPr>
                <w:rFonts w:hint="eastAsia" w:ascii="宋体" w:hAnsi="宋体" w:eastAsia="宋体" w:cs="宋体"/>
                <w:sz w:val="24"/>
                <w:szCs w:val="24"/>
              </w:rPr>
              <w:t>统计分析抗菌药物（分级）治疗前病原学送检率、联合使用重点药物前病原学送检率、医院感染诊断相关病原学送检率。可按照不同条件进行筛选，如是否包含降钙素原、PRC、白介素、G试验、显微镜检查、免疫学检测、分子快速判断、相关标志物等。并且通过红色标志数字显示警戒线。</w:t>
            </w:r>
          </w:p>
        </w:tc>
      </w:tr>
      <w:tr w14:paraId="3A3608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54775D">
            <w:pPr>
              <w:jc w:val="center"/>
              <w:rPr>
                <w:rFonts w:ascii="宋体" w:hAnsi="宋体" w:eastAsia="宋体" w:cs="宋体"/>
                <w:sz w:val="24"/>
                <w:szCs w:val="24"/>
              </w:rPr>
            </w:pPr>
            <w:r>
              <w:rPr>
                <w:rFonts w:hint="eastAsia" w:ascii="宋体" w:hAnsi="宋体" w:eastAsia="宋体" w:cs="宋体"/>
                <w:sz w:val="24"/>
                <w:szCs w:val="24"/>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40321">
            <w:pPr>
              <w:rPr>
                <w:rFonts w:ascii="宋体" w:hAnsi="宋体" w:eastAsia="宋体" w:cs="宋体"/>
                <w:sz w:val="24"/>
                <w:szCs w:val="24"/>
              </w:rPr>
            </w:pPr>
            <w:r>
              <w:rPr>
                <w:rFonts w:hint="eastAsia" w:ascii="宋体" w:hAnsi="宋体" w:eastAsia="宋体" w:cs="宋体"/>
                <w:sz w:val="24"/>
                <w:szCs w:val="24"/>
              </w:rPr>
              <w:t>全国医疗机构感染监测网指标统计</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9A8C262">
            <w:pPr>
              <w:tabs>
                <w:tab w:val="left" w:pos="420"/>
              </w:tabs>
              <w:jc w:val="left"/>
              <w:rPr>
                <w:rFonts w:ascii="宋体" w:hAnsi="宋体" w:eastAsia="宋体" w:cs="宋体"/>
                <w:sz w:val="24"/>
                <w:szCs w:val="24"/>
                <w:lang w:val="zh-TW" w:eastAsia="zh-TW"/>
              </w:rPr>
            </w:pPr>
            <w:r>
              <w:rPr>
                <w:rFonts w:hint="eastAsia" w:ascii="宋体" w:hAnsi="宋体" w:eastAsia="宋体" w:cs="宋体"/>
                <w:sz w:val="24"/>
                <w:szCs w:val="24"/>
                <w:lang w:val="zh-TW" w:eastAsia="zh-TW"/>
              </w:rPr>
              <w:t>支持按住院患者</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时间段</w:t>
            </w:r>
            <w:r>
              <w:rPr>
                <w:rFonts w:hint="eastAsia" w:ascii="宋体" w:hAnsi="宋体" w:eastAsia="宋体" w:cs="宋体"/>
                <w:sz w:val="24"/>
                <w:szCs w:val="24"/>
              </w:rPr>
              <w:t>进行</w:t>
            </w:r>
            <w:r>
              <w:rPr>
                <w:rFonts w:hint="eastAsia" w:ascii="宋体" w:hAnsi="宋体" w:eastAsia="宋体" w:cs="宋体"/>
                <w:sz w:val="24"/>
                <w:szCs w:val="24"/>
                <w:lang w:val="zh-TW" w:eastAsia="zh-TW"/>
              </w:rPr>
              <w:t>查询统计：医院感染日发病率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医院感染日发病例次率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特定多重耐药菌医院感染发生率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特定多重耐药菌检出率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特定多重耐药菌患者隔离医嘱开具率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住院患者抗菌药物使用率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抗菌药物治疗前病原学送检率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I 类切口手术部位感染率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I 类切口手术抗菌药物预防使用率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血管导管相关血流感染发病率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呼吸机相关肺炎发病率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导尿管相关尿路感染发病率</w:t>
            </w:r>
          </w:p>
        </w:tc>
      </w:tr>
      <w:tr w14:paraId="706A78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F80EAB">
            <w:pPr>
              <w:jc w:val="center"/>
              <w:rPr>
                <w:rFonts w:ascii="宋体" w:hAnsi="宋体" w:eastAsia="宋体" w:cs="宋体"/>
                <w:sz w:val="24"/>
                <w:szCs w:val="24"/>
              </w:rPr>
            </w:pPr>
            <w:r>
              <w:rPr>
                <w:rFonts w:hint="eastAsia" w:ascii="宋体" w:hAnsi="宋体" w:eastAsia="宋体" w:cs="宋体"/>
                <w:sz w:val="24"/>
                <w:szCs w:val="24"/>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57A1F1">
            <w:pPr>
              <w:rPr>
                <w:rFonts w:ascii="宋体" w:hAnsi="宋体" w:eastAsia="宋体" w:cs="宋体"/>
                <w:sz w:val="24"/>
                <w:szCs w:val="24"/>
              </w:rPr>
            </w:pPr>
            <w:r>
              <w:rPr>
                <w:rFonts w:hint="eastAsia" w:ascii="宋体" w:hAnsi="宋体" w:eastAsia="宋体" w:cs="宋体"/>
                <w:sz w:val="24"/>
                <w:szCs w:val="24"/>
              </w:rPr>
              <w:t>“感术”行动监测指标统计</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4EC8300">
            <w:pPr>
              <w:tabs>
                <w:tab w:val="left" w:pos="420"/>
              </w:tabs>
              <w:jc w:val="left"/>
              <w:rPr>
                <w:rFonts w:ascii="宋体" w:hAnsi="宋体" w:eastAsia="宋体" w:cs="宋体"/>
                <w:sz w:val="24"/>
                <w:szCs w:val="24"/>
                <w:lang w:val="zh-TW"/>
              </w:rPr>
            </w:pPr>
            <w:r>
              <w:rPr>
                <w:rFonts w:hint="eastAsia" w:ascii="宋体" w:hAnsi="宋体" w:eastAsia="宋体" w:cs="宋体"/>
                <w:sz w:val="24"/>
                <w:szCs w:val="24"/>
                <w:lang w:val="zh-TW" w:eastAsia="zh-TW"/>
              </w:rPr>
              <w:t>支持按住院患者、时间段进行查询统计：术前皮肤准备合格率、手术部位感染率、I 类切口手术部位感染率、术后肺炎发生率、预防性使用抗菌药物术前 0.5~1 小时给药率、I 类切口手术预防性用药24小时内抗菌药物停药率。支持按重点手术分类统计数据，如：髋关节置换术、膝关节置换术、冠状动脉旁路移植术等；支持排除感染病例用药数据统计；支持术前用药排除万古霉素和氟喹诺酮类用药统计；支持以全身性用药途径进行数据筛选统计。</w:t>
            </w:r>
          </w:p>
        </w:tc>
      </w:tr>
      <w:tr w14:paraId="279A1C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A86C12">
            <w:pPr>
              <w:jc w:val="center"/>
              <w:rPr>
                <w:rFonts w:ascii="宋体" w:hAnsi="宋体" w:eastAsia="宋体" w:cs="宋体"/>
                <w:sz w:val="24"/>
                <w:szCs w:val="24"/>
              </w:rPr>
            </w:pPr>
            <w:r>
              <w:rPr>
                <w:rFonts w:hint="eastAsia" w:ascii="宋体" w:hAnsi="宋体" w:eastAsia="宋体" w:cs="宋体"/>
                <w:sz w:val="24"/>
                <w:szCs w:val="24"/>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6B918">
            <w:pPr>
              <w:jc w:val="center"/>
              <w:rPr>
                <w:rFonts w:ascii="宋体" w:hAnsi="宋体" w:eastAsia="宋体" w:cs="宋体"/>
                <w:sz w:val="24"/>
                <w:szCs w:val="24"/>
              </w:rPr>
            </w:pPr>
            <w:r>
              <w:rPr>
                <w:rFonts w:hint="eastAsia" w:ascii="宋体" w:hAnsi="宋体" w:eastAsia="宋体" w:cs="宋体"/>
                <w:sz w:val="24"/>
                <w:szCs w:val="24"/>
              </w:rPr>
              <w:t>感染统计</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3379D4B">
            <w:pPr>
              <w:tabs>
                <w:tab w:val="left" w:pos="420"/>
              </w:tabs>
              <w:jc w:val="left"/>
              <w:rPr>
                <w:rFonts w:ascii="宋体" w:hAnsi="宋体" w:eastAsia="宋体" w:cs="宋体"/>
                <w:sz w:val="24"/>
                <w:szCs w:val="24"/>
                <w:lang w:val="zh-TW" w:eastAsia="zh-TW"/>
              </w:rPr>
            </w:pPr>
            <w:r>
              <w:rPr>
                <w:rFonts w:hint="eastAsia" w:ascii="宋体" w:hAnsi="宋体" w:eastAsia="宋体" w:cs="宋体"/>
                <w:sz w:val="24"/>
                <w:szCs w:val="24"/>
              </w:rPr>
              <w:t>可按照时间段、患者科室等维度统计分析：</w:t>
            </w:r>
            <w:r>
              <w:rPr>
                <w:rFonts w:hint="eastAsia" w:ascii="宋体" w:hAnsi="宋体" w:eastAsia="宋体" w:cs="宋体"/>
                <w:sz w:val="24"/>
                <w:szCs w:val="24"/>
                <w:lang w:val="zh-TW" w:eastAsia="zh-TW"/>
              </w:rPr>
              <w:t>医院感染率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社区感染率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医院感染日感染率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医院感染部位分布</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社区感染部位分布</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医院感染病原体部位分布</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社区感染病原体部位分布</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易感因素</w:t>
            </w:r>
            <w:r>
              <w:rPr>
                <w:rFonts w:hint="eastAsia" w:ascii="宋体" w:hAnsi="宋体" w:eastAsia="宋体" w:cs="宋体"/>
                <w:sz w:val="24"/>
                <w:szCs w:val="24"/>
                <w:lang w:val="zh-TW"/>
              </w:rPr>
              <w:t>、</w:t>
            </w:r>
            <w:r>
              <w:rPr>
                <w:rFonts w:hint="eastAsia" w:ascii="宋体" w:hAnsi="宋体" w:eastAsia="宋体" w:cs="宋体"/>
                <w:sz w:val="24"/>
                <w:szCs w:val="24"/>
              </w:rPr>
              <w:t>CLABSI</w:t>
            </w:r>
            <w:r>
              <w:rPr>
                <w:rFonts w:hint="eastAsia" w:ascii="宋体" w:hAnsi="宋体" w:eastAsia="宋体" w:cs="宋体"/>
                <w:sz w:val="24"/>
                <w:szCs w:val="24"/>
                <w:lang w:val="zh-TW" w:eastAsia="zh-TW"/>
              </w:rPr>
              <w:t>（血管内导管相关血流感染发病率）</w:t>
            </w:r>
            <w:r>
              <w:rPr>
                <w:rFonts w:hint="eastAsia" w:ascii="宋体" w:hAnsi="宋体" w:eastAsia="宋体" w:cs="宋体"/>
                <w:sz w:val="24"/>
                <w:szCs w:val="24"/>
                <w:lang w:val="zh-TW"/>
              </w:rPr>
              <w:t>、</w:t>
            </w:r>
            <w:r>
              <w:rPr>
                <w:rFonts w:hint="eastAsia" w:ascii="宋体" w:hAnsi="宋体" w:eastAsia="宋体" w:cs="宋体"/>
                <w:sz w:val="24"/>
                <w:szCs w:val="24"/>
              </w:rPr>
              <w:t>VAP</w:t>
            </w:r>
            <w:r>
              <w:rPr>
                <w:rFonts w:hint="eastAsia" w:ascii="宋体" w:hAnsi="宋体" w:eastAsia="宋体" w:cs="宋体"/>
                <w:sz w:val="24"/>
                <w:szCs w:val="24"/>
                <w:lang w:val="zh-TW" w:eastAsia="zh-TW"/>
              </w:rPr>
              <w:t>（呼吸机相关肺炎发病率）</w:t>
            </w:r>
            <w:r>
              <w:rPr>
                <w:rFonts w:hint="eastAsia" w:ascii="宋体" w:hAnsi="宋体" w:eastAsia="宋体" w:cs="宋体"/>
                <w:sz w:val="24"/>
                <w:szCs w:val="24"/>
                <w:lang w:val="zh-TW"/>
              </w:rPr>
              <w:t>、</w:t>
            </w:r>
            <w:r>
              <w:rPr>
                <w:rFonts w:hint="eastAsia" w:ascii="宋体" w:hAnsi="宋体" w:eastAsia="宋体" w:cs="宋体"/>
                <w:sz w:val="24"/>
                <w:szCs w:val="24"/>
              </w:rPr>
              <w:t>CAUTI</w:t>
            </w:r>
            <w:r>
              <w:rPr>
                <w:rFonts w:hint="eastAsia" w:ascii="宋体" w:hAnsi="宋体" w:eastAsia="宋体" w:cs="宋体"/>
                <w:sz w:val="24"/>
                <w:szCs w:val="24"/>
                <w:lang w:val="zh-TW" w:eastAsia="zh-TW"/>
              </w:rPr>
              <w:t>（导尿管相关泌尿系统感染发病率）</w:t>
            </w:r>
          </w:p>
        </w:tc>
      </w:tr>
      <w:tr w14:paraId="4A674A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3E0421">
            <w:pPr>
              <w:jc w:val="center"/>
              <w:rPr>
                <w:rFonts w:ascii="宋体" w:hAnsi="宋体" w:eastAsia="宋体" w:cs="宋体"/>
                <w:sz w:val="24"/>
                <w:szCs w:val="24"/>
              </w:rPr>
            </w:pPr>
            <w:r>
              <w:rPr>
                <w:rFonts w:hint="eastAsia" w:ascii="宋体" w:hAnsi="宋体" w:eastAsia="宋体" w:cs="宋体"/>
                <w:sz w:val="24"/>
                <w:szCs w:val="24"/>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14D9E">
            <w:pPr>
              <w:jc w:val="center"/>
              <w:rPr>
                <w:rFonts w:ascii="宋体" w:hAnsi="宋体" w:eastAsia="宋体" w:cs="宋体"/>
                <w:sz w:val="24"/>
                <w:szCs w:val="24"/>
              </w:rPr>
            </w:pPr>
            <w:r>
              <w:rPr>
                <w:rFonts w:hint="eastAsia" w:ascii="宋体" w:hAnsi="宋体" w:eastAsia="宋体" w:cs="宋体"/>
                <w:sz w:val="24"/>
                <w:szCs w:val="24"/>
              </w:rPr>
              <w:t>感染率趋势分析</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7B61E4">
            <w:pPr>
              <w:tabs>
                <w:tab w:val="left" w:pos="420"/>
              </w:tabs>
              <w:jc w:val="left"/>
              <w:rPr>
                <w:rFonts w:ascii="宋体" w:hAnsi="宋体" w:eastAsia="宋体" w:cs="宋体"/>
                <w:sz w:val="24"/>
                <w:szCs w:val="24"/>
                <w:lang w:val="zh-TW"/>
              </w:rPr>
            </w:pPr>
            <w:r>
              <w:rPr>
                <w:rFonts w:hint="eastAsia" w:ascii="宋体" w:hAnsi="宋体" w:eastAsia="宋体" w:cs="宋体"/>
                <w:sz w:val="24"/>
                <w:szCs w:val="24"/>
                <w:lang w:val="zh-TW" w:eastAsia="zh-TW"/>
              </w:rPr>
              <w:t>医院感染率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社区感染率</w:t>
            </w:r>
            <w:r>
              <w:rPr>
                <w:rFonts w:hint="eastAsia" w:ascii="宋体" w:hAnsi="宋体" w:eastAsia="宋体" w:cs="宋体"/>
                <w:sz w:val="24"/>
                <w:szCs w:val="24"/>
                <w:lang w:val="zh-TW"/>
              </w:rPr>
              <w:t>、医院感染日感染率、</w:t>
            </w:r>
            <w:r>
              <w:rPr>
                <w:rFonts w:hint="eastAsia" w:ascii="宋体" w:hAnsi="宋体" w:eastAsia="宋体" w:cs="宋体"/>
                <w:sz w:val="24"/>
                <w:szCs w:val="24"/>
              </w:rPr>
              <w:t>CLABSI</w:t>
            </w:r>
            <w:r>
              <w:rPr>
                <w:rFonts w:hint="eastAsia" w:ascii="宋体" w:hAnsi="宋体" w:eastAsia="宋体" w:cs="宋体"/>
                <w:sz w:val="24"/>
                <w:szCs w:val="24"/>
                <w:lang w:val="zh-TW" w:eastAsia="zh-TW"/>
              </w:rPr>
              <w:t>（血管内导管相关血流感染发病率）</w:t>
            </w:r>
            <w:r>
              <w:rPr>
                <w:rFonts w:hint="eastAsia" w:ascii="宋体" w:hAnsi="宋体" w:eastAsia="宋体" w:cs="宋体"/>
                <w:sz w:val="24"/>
                <w:szCs w:val="24"/>
                <w:lang w:val="zh-TW"/>
              </w:rPr>
              <w:t>、</w:t>
            </w:r>
            <w:r>
              <w:rPr>
                <w:rFonts w:hint="eastAsia" w:ascii="宋体" w:hAnsi="宋体" w:eastAsia="宋体" w:cs="宋体"/>
                <w:sz w:val="24"/>
                <w:szCs w:val="24"/>
              </w:rPr>
              <w:t>VAP</w:t>
            </w:r>
            <w:r>
              <w:rPr>
                <w:rFonts w:hint="eastAsia" w:ascii="宋体" w:hAnsi="宋体" w:eastAsia="宋体" w:cs="宋体"/>
                <w:sz w:val="24"/>
                <w:szCs w:val="24"/>
                <w:lang w:val="zh-TW" w:eastAsia="zh-TW"/>
              </w:rPr>
              <w:t>（呼吸机相关肺炎发病率）</w:t>
            </w:r>
            <w:r>
              <w:rPr>
                <w:rFonts w:hint="eastAsia" w:ascii="宋体" w:hAnsi="宋体" w:eastAsia="宋体" w:cs="宋体"/>
                <w:sz w:val="24"/>
                <w:szCs w:val="24"/>
                <w:lang w:val="zh-TW"/>
              </w:rPr>
              <w:t>、</w:t>
            </w:r>
            <w:r>
              <w:rPr>
                <w:rFonts w:hint="eastAsia" w:ascii="宋体" w:hAnsi="宋体" w:eastAsia="宋体" w:cs="宋体"/>
                <w:sz w:val="24"/>
                <w:szCs w:val="24"/>
              </w:rPr>
              <w:t>CAUTI</w:t>
            </w:r>
            <w:r>
              <w:rPr>
                <w:rFonts w:hint="eastAsia" w:ascii="宋体" w:hAnsi="宋体" w:eastAsia="宋体" w:cs="宋体"/>
                <w:sz w:val="24"/>
                <w:szCs w:val="24"/>
                <w:lang w:val="zh-TW" w:eastAsia="zh-TW"/>
              </w:rPr>
              <w:t>（导尿管相关泌尿系统感染发病率）</w:t>
            </w:r>
            <w:r>
              <w:rPr>
                <w:rFonts w:hint="eastAsia" w:ascii="宋体" w:hAnsi="宋体" w:eastAsia="宋体" w:cs="宋体"/>
                <w:sz w:val="24"/>
                <w:szCs w:val="24"/>
                <w:lang w:val="zh-TW"/>
              </w:rPr>
              <w:t>。</w:t>
            </w:r>
          </w:p>
        </w:tc>
      </w:tr>
      <w:tr w14:paraId="708F80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96C00C">
            <w:pPr>
              <w:jc w:val="center"/>
              <w:rPr>
                <w:rFonts w:ascii="宋体" w:hAnsi="宋体" w:eastAsia="宋体" w:cs="宋体"/>
                <w:sz w:val="24"/>
                <w:szCs w:val="24"/>
              </w:rPr>
            </w:pPr>
            <w:r>
              <w:rPr>
                <w:rFonts w:hint="eastAsia" w:ascii="宋体" w:hAnsi="宋体" w:eastAsia="宋体" w:cs="宋体"/>
                <w:sz w:val="24"/>
                <w:szCs w:val="24"/>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282AB">
            <w:pPr>
              <w:jc w:val="center"/>
              <w:rPr>
                <w:rFonts w:ascii="宋体" w:hAnsi="宋体" w:eastAsia="宋体" w:cs="宋体"/>
                <w:sz w:val="24"/>
                <w:szCs w:val="24"/>
              </w:rPr>
            </w:pPr>
            <w:r>
              <w:rPr>
                <w:rFonts w:hint="eastAsia" w:ascii="宋体" w:hAnsi="宋体" w:eastAsia="宋体" w:cs="宋体"/>
                <w:sz w:val="24"/>
                <w:szCs w:val="24"/>
              </w:rPr>
              <w:t>现患率统计</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16BD322">
            <w:pPr>
              <w:tabs>
                <w:tab w:val="left" w:pos="420"/>
              </w:tabs>
              <w:jc w:val="left"/>
              <w:rPr>
                <w:rFonts w:ascii="宋体" w:hAnsi="宋体" w:eastAsia="宋体" w:cs="宋体"/>
                <w:sz w:val="24"/>
                <w:szCs w:val="24"/>
                <w:lang w:val="zh-TW"/>
              </w:rPr>
            </w:pPr>
            <w:r>
              <w:rPr>
                <w:rFonts w:hint="eastAsia" w:ascii="宋体" w:hAnsi="宋体" w:eastAsia="宋体" w:cs="宋体"/>
                <w:sz w:val="24"/>
                <w:szCs w:val="24"/>
                <w:lang w:val="zh-TW" w:eastAsia="zh-TW"/>
              </w:rPr>
              <w:t>根据</w:t>
            </w:r>
            <w:r>
              <w:rPr>
                <w:rFonts w:hint="eastAsia" w:ascii="宋体" w:hAnsi="宋体" w:eastAsia="宋体" w:cs="宋体"/>
                <w:sz w:val="24"/>
                <w:szCs w:val="24"/>
                <w:lang w:val="zh-TW"/>
              </w:rPr>
              <w:t>横断面调查</w:t>
            </w:r>
            <w:r>
              <w:rPr>
                <w:rFonts w:hint="eastAsia" w:ascii="宋体" w:hAnsi="宋体" w:eastAsia="宋体" w:cs="宋体"/>
                <w:sz w:val="24"/>
                <w:szCs w:val="24"/>
                <w:lang w:val="zh-TW" w:eastAsia="zh-TW"/>
              </w:rPr>
              <w:t>进行现患统计；医院感染率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社区感染率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医院感染病原体部位分布</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抗菌药物使用情况</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医院感染率现患趋势分析</w:t>
            </w:r>
          </w:p>
        </w:tc>
      </w:tr>
      <w:tr w14:paraId="66C89C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A6969">
            <w:pPr>
              <w:jc w:val="center"/>
              <w:rPr>
                <w:rFonts w:ascii="宋体" w:hAnsi="宋体" w:eastAsia="宋体" w:cs="宋体"/>
                <w:sz w:val="24"/>
                <w:szCs w:val="24"/>
              </w:rPr>
            </w:pPr>
            <w:r>
              <w:rPr>
                <w:rFonts w:hint="eastAsia" w:ascii="宋体" w:hAnsi="宋体" w:eastAsia="宋体" w:cs="宋体"/>
                <w:sz w:val="24"/>
                <w:szCs w:val="24"/>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AADCB">
            <w:pPr>
              <w:jc w:val="center"/>
              <w:rPr>
                <w:rFonts w:ascii="宋体" w:hAnsi="宋体" w:eastAsia="宋体" w:cs="宋体"/>
                <w:sz w:val="24"/>
                <w:szCs w:val="24"/>
              </w:rPr>
            </w:pPr>
            <w:r>
              <w:rPr>
                <w:rFonts w:hint="eastAsia" w:ascii="宋体" w:hAnsi="宋体" w:eastAsia="宋体" w:cs="宋体"/>
                <w:sz w:val="24"/>
                <w:szCs w:val="24"/>
              </w:rPr>
              <w:t>院感通讯简报</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11A3DFC">
            <w:pPr>
              <w:jc w:val="left"/>
              <w:rPr>
                <w:rFonts w:ascii="宋体" w:hAnsi="宋体" w:eastAsia="宋体" w:cs="宋体"/>
                <w:sz w:val="24"/>
                <w:szCs w:val="24"/>
                <w:lang w:val="zh-TW"/>
              </w:rPr>
            </w:pPr>
            <w:r>
              <w:rPr>
                <w:rFonts w:hint="eastAsia" w:ascii="宋体" w:hAnsi="宋体" w:eastAsia="宋体" w:cs="宋体"/>
                <w:sz w:val="24"/>
                <w:szCs w:val="24"/>
                <w:lang w:val="zh-TW" w:eastAsia="zh-TW"/>
              </w:rPr>
              <w:t>支持根据院内监测数据自动生成院感通讯简报，进行多样化的指标数据统计。支持表格、曲线图、折线图等展现形式生成图文并茂的简报内容，</w:t>
            </w:r>
            <w:r>
              <w:rPr>
                <w:rFonts w:hint="eastAsia" w:ascii="宋体" w:hAnsi="宋体" w:eastAsia="宋体" w:cs="宋体"/>
                <w:sz w:val="24"/>
                <w:szCs w:val="24"/>
                <w:lang w:val="zh-TW"/>
              </w:rPr>
              <w:t>提供</w:t>
            </w:r>
            <w:r>
              <w:rPr>
                <w:rFonts w:hint="eastAsia" w:ascii="宋体" w:hAnsi="宋体" w:eastAsia="宋体" w:cs="宋体"/>
                <w:sz w:val="24"/>
                <w:szCs w:val="24"/>
                <w:lang w:val="zh-TW" w:eastAsia="zh-TW"/>
              </w:rPr>
              <w:t>统一模板库和各类标准统计指标</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支持简报名称、格式、内容自定义；简报一键生成，支持导出word格式，自行调整简报内容。</w:t>
            </w:r>
          </w:p>
        </w:tc>
      </w:tr>
      <w:tr w14:paraId="73EB77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A5E94">
            <w:pPr>
              <w:widowControl/>
              <w:jc w:val="center"/>
              <w:rPr>
                <w:rFonts w:ascii="宋体" w:hAnsi="宋体" w:eastAsia="宋体" w:cs="宋体"/>
                <w:sz w:val="24"/>
                <w:szCs w:val="24"/>
              </w:rPr>
            </w:pPr>
            <w:r>
              <w:rPr>
                <w:rFonts w:hint="eastAsia" w:ascii="宋体" w:hAnsi="宋体" w:eastAsia="宋体" w:cs="宋体"/>
                <w:sz w:val="24"/>
                <w:szCs w:val="24"/>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AB28BC">
            <w:pPr>
              <w:widowControl/>
              <w:jc w:val="center"/>
              <w:rPr>
                <w:rFonts w:ascii="宋体" w:hAnsi="宋体" w:eastAsia="宋体" w:cs="宋体"/>
                <w:sz w:val="24"/>
                <w:szCs w:val="24"/>
              </w:rPr>
            </w:pPr>
            <w:r>
              <w:rPr>
                <w:rFonts w:hint="eastAsia" w:ascii="宋体" w:hAnsi="宋体" w:eastAsia="宋体" w:cs="宋体"/>
                <w:sz w:val="24"/>
                <w:szCs w:val="24"/>
                <w:lang w:val="zh-TW" w:eastAsia="zh-TW"/>
              </w:rPr>
              <w:t>患者诊疗信息</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468D64">
            <w:pPr>
              <w:pStyle w:val="11"/>
              <w:numPr>
                <w:ilvl w:val="0"/>
                <w:numId w:val="2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支持查看患者历次本院住院诊疗信息</w:t>
            </w:r>
            <w:r>
              <w:rPr>
                <w:rFonts w:hint="eastAsia" w:ascii="宋体" w:hAnsi="宋体" w:eastAsia="宋体" w:cs="宋体"/>
                <w:sz w:val="24"/>
                <w:szCs w:val="24"/>
                <w:lang w:val="zh-TW"/>
              </w:rPr>
              <w:t>，包括住院号、入院科室、入院时间、出院科室、出院时间、入院诊断、住院次数</w:t>
            </w:r>
            <w:r>
              <w:rPr>
                <w:rFonts w:hint="eastAsia" w:ascii="宋体" w:hAnsi="宋体" w:eastAsia="宋体" w:cs="宋体"/>
                <w:sz w:val="24"/>
                <w:szCs w:val="24"/>
                <w:lang w:val="zh-TW" w:eastAsia="zh-TW"/>
              </w:rPr>
              <w:t>；</w:t>
            </w:r>
          </w:p>
          <w:p w14:paraId="65AAE7AE">
            <w:pPr>
              <w:pStyle w:val="11"/>
              <w:numPr>
                <w:ilvl w:val="0"/>
                <w:numId w:val="2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支持查看患者基本信息，包括住院号、病案号、姓名、性别、年龄、住院次数、体重</w:t>
            </w:r>
            <w:r>
              <w:rPr>
                <w:rFonts w:hint="eastAsia" w:ascii="宋体" w:hAnsi="宋体" w:eastAsia="宋体" w:cs="宋体"/>
                <w:sz w:val="24"/>
                <w:szCs w:val="24"/>
                <w:lang w:val="zh-TW"/>
              </w:rPr>
              <w:t>、入院诊断、当前科室</w:t>
            </w:r>
            <w:r>
              <w:rPr>
                <w:rFonts w:hint="eastAsia" w:ascii="宋体" w:hAnsi="宋体" w:eastAsia="宋体" w:cs="宋体"/>
                <w:sz w:val="24"/>
                <w:szCs w:val="24"/>
                <w:lang w:val="zh-TW" w:eastAsia="zh-TW"/>
              </w:rPr>
              <w:t>信息；</w:t>
            </w:r>
          </w:p>
          <w:p w14:paraId="6886DA72">
            <w:pPr>
              <w:pStyle w:val="11"/>
              <w:numPr>
                <w:ilvl w:val="0"/>
                <w:numId w:val="2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支持查看患者住院综合图示重要关注因素的时序图，包括三大插管、三大常规、</w:t>
            </w:r>
            <w:r>
              <w:rPr>
                <w:rFonts w:hint="eastAsia" w:ascii="宋体" w:hAnsi="宋体" w:eastAsia="宋体" w:cs="宋体"/>
                <w:sz w:val="24"/>
                <w:szCs w:val="24"/>
              </w:rPr>
              <w:t>C</w:t>
            </w:r>
            <w:r>
              <w:rPr>
                <w:rFonts w:hint="eastAsia" w:ascii="宋体" w:hAnsi="宋体" w:eastAsia="宋体" w:cs="宋体"/>
                <w:sz w:val="24"/>
                <w:szCs w:val="24"/>
                <w:lang w:val="zh-TW" w:eastAsia="zh-TW"/>
              </w:rPr>
              <w:t>反应蛋白、降钙素原、检出菌、隔离标识；</w:t>
            </w:r>
          </w:p>
          <w:p w14:paraId="18773842">
            <w:pPr>
              <w:pStyle w:val="11"/>
              <w:numPr>
                <w:ilvl w:val="0"/>
                <w:numId w:val="2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支持在综合图示中，可查看三大常规、</w:t>
            </w:r>
            <w:r>
              <w:rPr>
                <w:rFonts w:hint="eastAsia" w:ascii="宋体" w:hAnsi="宋体" w:eastAsia="宋体" w:cs="宋体"/>
                <w:sz w:val="24"/>
                <w:szCs w:val="24"/>
              </w:rPr>
              <w:t>C</w:t>
            </w:r>
            <w:r>
              <w:rPr>
                <w:rFonts w:hint="eastAsia" w:ascii="宋体" w:hAnsi="宋体" w:eastAsia="宋体" w:cs="宋体"/>
                <w:sz w:val="24"/>
                <w:szCs w:val="24"/>
                <w:lang w:val="zh-TW" w:eastAsia="zh-TW"/>
              </w:rPr>
              <w:t>反应蛋白的历次送检信息及检验结果的趋势走向；</w:t>
            </w:r>
          </w:p>
          <w:p w14:paraId="30B60495">
            <w:pPr>
              <w:pStyle w:val="11"/>
              <w:numPr>
                <w:ilvl w:val="0"/>
                <w:numId w:val="2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支持查看住院综合图示重要风险因素明细，包括：抗菌药物使用、侵入性操作、检出菌、手术、体温异常；</w:t>
            </w:r>
          </w:p>
          <w:p w14:paraId="51DAA258">
            <w:pPr>
              <w:pStyle w:val="11"/>
              <w:numPr>
                <w:ilvl w:val="0"/>
                <w:numId w:val="2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支持查看医嘱信息，侵入性操作、抗菌药物优先置顶，并可进行关键词搜索医嘱；</w:t>
            </w:r>
          </w:p>
          <w:p w14:paraId="4B92D81E">
            <w:pPr>
              <w:pStyle w:val="11"/>
              <w:numPr>
                <w:ilvl w:val="0"/>
                <w:numId w:val="2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支持查看检验信息，对存在异常检验项目，标记红点显目提示，异常检验结果优先置顶；</w:t>
            </w:r>
          </w:p>
          <w:p w14:paraId="5B79E20B">
            <w:pPr>
              <w:pStyle w:val="11"/>
              <w:numPr>
                <w:ilvl w:val="0"/>
                <w:numId w:val="2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支持查看菌培养信息，优先置顶，药敏结果为耐药标红显示；</w:t>
            </w:r>
          </w:p>
          <w:p w14:paraId="6DE1B675">
            <w:pPr>
              <w:pStyle w:val="11"/>
              <w:numPr>
                <w:ilvl w:val="0"/>
                <w:numId w:val="21"/>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支持查看手术信息，可穿透查看手术登记表；</w:t>
            </w:r>
          </w:p>
          <w:p w14:paraId="07218704">
            <w:pPr>
              <w:pStyle w:val="11"/>
              <w:numPr>
                <w:ilvl w:val="0"/>
                <w:numId w:val="21"/>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支持查看体温信息，时间段内体温走向，超过</w:t>
            </w:r>
            <w:r>
              <w:rPr>
                <w:rFonts w:hint="eastAsia" w:ascii="宋体" w:hAnsi="宋体" w:eastAsia="宋体" w:cs="宋体"/>
                <w:sz w:val="24"/>
                <w:szCs w:val="24"/>
              </w:rPr>
              <w:t>38℃</w:t>
            </w:r>
            <w:r>
              <w:rPr>
                <w:rFonts w:hint="eastAsia" w:ascii="宋体" w:hAnsi="宋体" w:eastAsia="宋体" w:cs="宋体"/>
                <w:sz w:val="24"/>
                <w:szCs w:val="24"/>
                <w:lang w:val="zh-TW" w:eastAsia="zh-TW"/>
              </w:rPr>
              <w:t>显目提示；</w:t>
            </w:r>
          </w:p>
          <w:p w14:paraId="2C455622">
            <w:pPr>
              <w:pStyle w:val="11"/>
              <w:numPr>
                <w:ilvl w:val="0"/>
                <w:numId w:val="21"/>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支持查看病历信息，对存在感染因素的标记显示，分别展示分析后病历和原文病历，分析后病历中关键词按颜色区分否定式、阳性词；</w:t>
            </w:r>
          </w:p>
          <w:p w14:paraId="7B061A3C">
            <w:pPr>
              <w:pStyle w:val="11"/>
              <w:numPr>
                <w:ilvl w:val="0"/>
                <w:numId w:val="21"/>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支持查看影像信息，对存在感染因素的标记显示，分析后影像报告中关键词按颜色区分否定式、阳性词；</w:t>
            </w:r>
          </w:p>
          <w:p w14:paraId="34295F5E">
            <w:pPr>
              <w:pStyle w:val="11"/>
              <w:numPr>
                <w:ilvl w:val="0"/>
                <w:numId w:val="21"/>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支持查看诊断信息，包括入院诊断、出院诊断、其他诊断；</w:t>
            </w:r>
          </w:p>
          <w:p w14:paraId="323C5E75">
            <w:pPr>
              <w:pStyle w:val="11"/>
              <w:numPr>
                <w:ilvl w:val="0"/>
                <w:numId w:val="21"/>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支持查看在院期间出入科记录；</w:t>
            </w:r>
          </w:p>
          <w:p w14:paraId="51008904">
            <w:pPr>
              <w:pStyle w:val="11"/>
              <w:numPr>
                <w:ilvl w:val="0"/>
                <w:numId w:val="21"/>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支持查看当前患者干预历史情况，并支持干预会话发起；</w:t>
            </w:r>
          </w:p>
          <w:p w14:paraId="1C95487B">
            <w:pPr>
              <w:pStyle w:val="11"/>
              <w:numPr>
                <w:ilvl w:val="0"/>
                <w:numId w:val="21"/>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支持查看当前患者疑似感染信息，并可直接进行干预、排除、确认操作；</w:t>
            </w:r>
          </w:p>
          <w:p w14:paraId="260A4AFC">
            <w:pPr>
              <w:pStyle w:val="11"/>
              <w:numPr>
                <w:ilvl w:val="0"/>
                <w:numId w:val="21"/>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支持查看当前患者感染病例历史上报情况；</w:t>
            </w:r>
          </w:p>
        </w:tc>
      </w:tr>
      <w:tr w14:paraId="4DEF2F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1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698DD">
            <w:pPr>
              <w:widowControl/>
              <w:jc w:val="center"/>
              <w:rPr>
                <w:rFonts w:ascii="宋体" w:hAnsi="宋体" w:eastAsia="宋体" w:cs="宋体"/>
                <w:sz w:val="24"/>
                <w:szCs w:val="24"/>
              </w:rPr>
            </w:pPr>
            <w:r>
              <w:rPr>
                <w:rFonts w:hint="eastAsia" w:ascii="宋体" w:hAnsi="宋体" w:eastAsia="宋体" w:cs="宋体"/>
                <w:sz w:val="24"/>
                <w:szCs w:val="24"/>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6328A1">
            <w:pPr>
              <w:widowControl/>
              <w:jc w:val="center"/>
              <w:rPr>
                <w:rFonts w:ascii="宋体" w:hAnsi="宋体" w:eastAsia="宋体" w:cs="宋体"/>
                <w:sz w:val="24"/>
                <w:szCs w:val="24"/>
              </w:rPr>
            </w:pPr>
            <w:r>
              <w:rPr>
                <w:rFonts w:hint="eastAsia" w:ascii="宋体" w:hAnsi="宋体" w:eastAsia="宋体" w:cs="宋体"/>
                <w:sz w:val="24"/>
                <w:szCs w:val="24"/>
                <w:lang w:val="zh-TW" w:eastAsia="zh-TW"/>
              </w:rPr>
              <w:t>患者数据数据采集</w:t>
            </w:r>
          </w:p>
          <w:p w14:paraId="4D1A9A3B">
            <w:pPr>
              <w:widowControl/>
              <w:rPr>
                <w:rFonts w:ascii="宋体" w:hAnsi="宋体" w:eastAsia="宋体" w:cs="宋体"/>
                <w:sz w:val="24"/>
                <w:szCs w:val="24"/>
              </w:rPr>
            </w:pP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09B98F0">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支持与医院现有系统的数据对接，自动完成</w:t>
            </w:r>
            <w:r>
              <w:rPr>
                <w:rFonts w:hint="eastAsia" w:ascii="宋体" w:hAnsi="宋体" w:eastAsia="宋体" w:cs="宋体"/>
                <w:sz w:val="24"/>
                <w:szCs w:val="24"/>
              </w:rPr>
              <w:t>HIS</w:t>
            </w:r>
            <w:r>
              <w:rPr>
                <w:rFonts w:hint="eastAsia" w:ascii="宋体" w:hAnsi="宋体" w:eastAsia="宋体" w:cs="宋体"/>
                <w:sz w:val="24"/>
                <w:szCs w:val="24"/>
                <w:lang w:val="zh-TW" w:eastAsia="zh-TW"/>
              </w:rPr>
              <w:t>、</w:t>
            </w:r>
            <w:r>
              <w:rPr>
                <w:rFonts w:hint="eastAsia" w:ascii="宋体" w:hAnsi="宋体" w:eastAsia="宋体" w:cs="宋体"/>
                <w:sz w:val="24"/>
                <w:szCs w:val="24"/>
              </w:rPr>
              <w:t>LIS</w:t>
            </w:r>
            <w:r>
              <w:rPr>
                <w:rFonts w:hint="eastAsia" w:ascii="宋体" w:hAnsi="宋体" w:eastAsia="宋体" w:cs="宋体"/>
                <w:sz w:val="24"/>
                <w:szCs w:val="24"/>
                <w:lang w:val="zh-TW" w:eastAsia="zh-TW"/>
              </w:rPr>
              <w:t>、</w:t>
            </w:r>
            <w:r>
              <w:rPr>
                <w:rFonts w:hint="eastAsia" w:ascii="宋体" w:hAnsi="宋体" w:eastAsia="宋体" w:cs="宋体"/>
                <w:sz w:val="24"/>
                <w:szCs w:val="24"/>
              </w:rPr>
              <w:t>PACS</w:t>
            </w:r>
            <w:r>
              <w:rPr>
                <w:rFonts w:hint="eastAsia" w:ascii="宋体" w:hAnsi="宋体" w:eastAsia="宋体" w:cs="宋体"/>
                <w:sz w:val="24"/>
                <w:szCs w:val="24"/>
                <w:lang w:val="zh-TW" w:eastAsia="zh-TW"/>
              </w:rPr>
              <w:t>、</w:t>
            </w:r>
            <w:r>
              <w:rPr>
                <w:rFonts w:hint="eastAsia" w:ascii="宋体" w:hAnsi="宋体" w:eastAsia="宋体" w:cs="宋体"/>
                <w:sz w:val="24"/>
                <w:szCs w:val="24"/>
              </w:rPr>
              <w:t>EMR(</w:t>
            </w:r>
            <w:r>
              <w:rPr>
                <w:rFonts w:hint="eastAsia" w:ascii="宋体" w:hAnsi="宋体" w:eastAsia="宋体" w:cs="宋体"/>
                <w:sz w:val="24"/>
                <w:szCs w:val="24"/>
                <w:lang w:val="zh-TW" w:eastAsia="zh-TW"/>
              </w:rPr>
              <w:t>电子病历</w:t>
            </w:r>
            <w:r>
              <w:rPr>
                <w:rFonts w:hint="eastAsia" w:ascii="宋体" w:hAnsi="宋体" w:eastAsia="宋体" w:cs="宋体"/>
                <w:sz w:val="24"/>
                <w:szCs w:val="24"/>
              </w:rPr>
              <w:t>)</w:t>
            </w:r>
            <w:r>
              <w:rPr>
                <w:rFonts w:hint="eastAsia" w:ascii="宋体" w:hAnsi="宋体" w:eastAsia="宋体" w:cs="宋体"/>
                <w:sz w:val="24"/>
                <w:szCs w:val="24"/>
                <w:lang w:val="zh-TW" w:eastAsia="zh-TW"/>
              </w:rPr>
              <w:t>、手术麻醉、护理系统系统的数据加载，并自动完成各项院感数据匹配工作</w:t>
            </w:r>
            <w:r>
              <w:rPr>
                <w:rFonts w:hint="eastAsia" w:ascii="宋体" w:hAnsi="宋体" w:eastAsia="宋体" w:cs="宋体"/>
                <w:sz w:val="24"/>
                <w:szCs w:val="24"/>
                <w:lang w:val="zh-TW"/>
              </w:rPr>
              <w:t>；</w:t>
            </w:r>
          </w:p>
          <w:p w14:paraId="3C46D7F3">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支持对接</w:t>
            </w:r>
            <w:r>
              <w:rPr>
                <w:rFonts w:hint="eastAsia" w:ascii="宋体" w:hAnsi="宋体" w:eastAsia="宋体" w:cs="宋体"/>
                <w:sz w:val="24"/>
                <w:szCs w:val="24"/>
              </w:rPr>
              <w:t>Sqlserver</w:t>
            </w:r>
            <w:r>
              <w:rPr>
                <w:rFonts w:hint="eastAsia" w:ascii="宋体" w:hAnsi="宋体" w:eastAsia="宋体" w:cs="宋体"/>
                <w:sz w:val="24"/>
                <w:szCs w:val="24"/>
                <w:lang w:val="zh-TW" w:eastAsia="zh-TW"/>
              </w:rPr>
              <w:t>、</w:t>
            </w:r>
            <w:r>
              <w:rPr>
                <w:rFonts w:hint="eastAsia" w:ascii="宋体" w:hAnsi="宋体" w:eastAsia="宋体" w:cs="宋体"/>
                <w:sz w:val="24"/>
                <w:szCs w:val="24"/>
              </w:rPr>
              <w:t>Mysql</w:t>
            </w:r>
            <w:r>
              <w:rPr>
                <w:rFonts w:hint="eastAsia" w:ascii="宋体" w:hAnsi="宋体" w:eastAsia="宋体" w:cs="宋体"/>
                <w:sz w:val="24"/>
                <w:szCs w:val="24"/>
                <w:lang w:val="zh-TW" w:eastAsia="zh-TW"/>
              </w:rPr>
              <w:t>、</w:t>
            </w:r>
            <w:r>
              <w:rPr>
                <w:rFonts w:hint="eastAsia" w:ascii="宋体" w:hAnsi="宋体" w:eastAsia="宋体" w:cs="宋体"/>
                <w:sz w:val="24"/>
                <w:szCs w:val="24"/>
              </w:rPr>
              <w:t>Oracle</w:t>
            </w:r>
            <w:r>
              <w:rPr>
                <w:rFonts w:hint="eastAsia" w:ascii="宋体" w:hAnsi="宋体" w:eastAsia="宋体" w:cs="宋体"/>
                <w:sz w:val="24"/>
                <w:szCs w:val="24"/>
                <w:lang w:val="zh-TW" w:eastAsia="zh-TW"/>
              </w:rPr>
              <w:t>、</w:t>
            </w:r>
            <w:r>
              <w:rPr>
                <w:rFonts w:hint="eastAsia" w:ascii="宋体" w:hAnsi="宋体" w:eastAsia="宋体" w:cs="宋体"/>
                <w:sz w:val="24"/>
                <w:szCs w:val="24"/>
              </w:rPr>
              <w:t>DB2</w:t>
            </w:r>
            <w:r>
              <w:rPr>
                <w:rFonts w:hint="eastAsia" w:ascii="宋体" w:hAnsi="宋体" w:eastAsia="宋体" w:cs="宋体"/>
                <w:sz w:val="24"/>
                <w:szCs w:val="24"/>
                <w:lang w:val="zh-TW" w:eastAsia="zh-TW"/>
              </w:rPr>
              <w:t>、</w:t>
            </w:r>
            <w:r>
              <w:rPr>
                <w:rFonts w:hint="eastAsia" w:ascii="宋体" w:hAnsi="宋体" w:eastAsia="宋体" w:cs="宋体"/>
                <w:sz w:val="24"/>
                <w:szCs w:val="24"/>
              </w:rPr>
              <w:t>Cache</w:t>
            </w:r>
            <w:r>
              <w:rPr>
                <w:rFonts w:hint="eastAsia" w:ascii="宋体" w:hAnsi="宋体" w:eastAsia="宋体" w:cs="宋体"/>
                <w:sz w:val="24"/>
                <w:szCs w:val="24"/>
                <w:lang w:val="zh-TW" w:eastAsia="zh-TW"/>
              </w:rPr>
              <w:t>数据库；</w:t>
            </w:r>
          </w:p>
          <w:p w14:paraId="04D757ED">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支持完成自动加载患者基本信息；</w:t>
            </w:r>
          </w:p>
          <w:p w14:paraId="5454DFFC">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支持完成自动加载患者出入院信息，包括出入院日期、科室、床位、住院总费用信息；</w:t>
            </w:r>
          </w:p>
          <w:p w14:paraId="5721ABEC">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支持完成自动加载患者转科信息</w:t>
            </w:r>
            <w:r>
              <w:rPr>
                <w:rFonts w:hint="eastAsia" w:ascii="宋体" w:hAnsi="宋体" w:eastAsia="宋体" w:cs="宋体"/>
                <w:sz w:val="24"/>
                <w:szCs w:val="24"/>
                <w:lang w:val="zh-TW"/>
              </w:rPr>
              <w:t>；</w:t>
            </w:r>
          </w:p>
          <w:p w14:paraId="41CD73B9">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支持完成自动加载患者诊断信息，入院诊断、疾病诊断、出院诊断；</w:t>
            </w:r>
          </w:p>
          <w:p w14:paraId="01DD44C5">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支持完成自动加载患者电子体温信息及大便次数信息；</w:t>
            </w:r>
          </w:p>
          <w:p w14:paraId="20A3F4C3">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支持完成自动加载患者手术申请、安排，详细的手术情况，如麻醉类型、手术时间等；</w:t>
            </w:r>
          </w:p>
          <w:p w14:paraId="4CF1A359">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支持完成自动加载患者医嘱信息，包括检验检查项目、用药情况等；</w:t>
            </w:r>
          </w:p>
          <w:p w14:paraId="6D147B40">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支持完成自动加载患者检验信息，包括常规检验、细菌培养、检验结果等；</w:t>
            </w:r>
          </w:p>
          <w:p w14:paraId="45C931FF">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支持完成自动加载患者微生物培养情况（包括送检信息、病原体检出情况、药敏试验情况等）</w:t>
            </w:r>
            <w:r>
              <w:rPr>
                <w:rFonts w:hint="eastAsia" w:ascii="宋体" w:hAnsi="宋体" w:eastAsia="宋体" w:cs="宋体"/>
                <w:sz w:val="24"/>
                <w:szCs w:val="24"/>
                <w:lang w:val="zh-TW"/>
              </w:rPr>
              <w:t>；</w:t>
            </w:r>
          </w:p>
          <w:p w14:paraId="528FE544">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支持完成自动加载患者抗菌药物使用情况；</w:t>
            </w:r>
          </w:p>
          <w:p w14:paraId="755B558A">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支持完成自动加载患者影像诊断信息；</w:t>
            </w:r>
          </w:p>
          <w:p w14:paraId="4BED884B">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支持完成自动加载患者病历记录；</w:t>
            </w:r>
          </w:p>
          <w:p w14:paraId="72927425">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科室信息、医生信息（包括职称）、药品信息等基础资料</w:t>
            </w:r>
            <w:r>
              <w:rPr>
                <w:rFonts w:hint="eastAsia" w:ascii="宋体" w:hAnsi="宋体" w:eastAsia="宋体" w:cs="宋体"/>
                <w:sz w:val="24"/>
                <w:szCs w:val="24"/>
                <w:lang w:val="zh-TW"/>
              </w:rPr>
              <w:t>；</w:t>
            </w:r>
          </w:p>
          <w:p w14:paraId="777E938B">
            <w:pPr>
              <w:pStyle w:val="11"/>
              <w:numPr>
                <w:ilvl w:val="0"/>
                <w:numId w:val="22"/>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rPr>
              <w:t>支持ETL接口数据自动监控，异常接口数据弹窗提醒，可查看异常接口事件详情与错误记录明细。</w:t>
            </w:r>
          </w:p>
        </w:tc>
      </w:tr>
      <w:tr w14:paraId="5C8943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EF2980">
            <w:pPr>
              <w:jc w:val="center"/>
              <w:rPr>
                <w:rFonts w:ascii="宋体" w:hAnsi="宋体" w:eastAsia="宋体" w:cs="宋体"/>
                <w:sz w:val="24"/>
                <w:szCs w:val="24"/>
              </w:rPr>
            </w:pPr>
            <w:r>
              <w:rPr>
                <w:rFonts w:hint="eastAsia" w:ascii="宋体" w:hAnsi="宋体" w:eastAsia="宋体" w:cs="宋体"/>
                <w:sz w:val="24"/>
                <w:szCs w:val="24"/>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7F5A8">
            <w:pPr>
              <w:jc w:val="center"/>
              <w:rPr>
                <w:rFonts w:ascii="宋体" w:hAnsi="宋体" w:eastAsia="宋体" w:cs="宋体"/>
                <w:sz w:val="24"/>
                <w:szCs w:val="24"/>
              </w:rPr>
            </w:pPr>
            <w:r>
              <w:rPr>
                <w:rFonts w:hint="eastAsia" w:ascii="宋体" w:hAnsi="宋体" w:eastAsia="宋体" w:cs="宋体"/>
                <w:sz w:val="24"/>
                <w:szCs w:val="24"/>
              </w:rPr>
              <w:t>重点监测细菌</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380613">
            <w:pPr>
              <w:pStyle w:val="11"/>
              <w:numPr>
                <w:ilvl w:val="0"/>
                <w:numId w:val="23"/>
              </w:numPr>
              <w:ind w:firstLineChars="0"/>
              <w:rPr>
                <w:rFonts w:ascii="宋体" w:hAnsi="宋体" w:eastAsia="宋体" w:cs="宋体"/>
                <w:sz w:val="24"/>
                <w:szCs w:val="24"/>
              </w:rPr>
            </w:pPr>
            <w:r>
              <w:rPr>
                <w:rFonts w:hint="eastAsia" w:ascii="宋体" w:hAnsi="宋体" w:eastAsia="宋体" w:cs="宋体"/>
                <w:sz w:val="24"/>
                <w:szCs w:val="24"/>
                <w:lang w:val="zh-TW" w:eastAsia="zh-TW"/>
              </w:rPr>
              <w:t>支持对国家卫计委要求的重点监测菌的维护，重点监测菌包括：耐甲氧西林金黄色葡萄球菌（MRSA）、</w:t>
            </w:r>
            <w:r>
              <w:rPr>
                <w:rFonts w:hint="eastAsia" w:ascii="宋体" w:hAnsi="宋体" w:eastAsia="宋体" w:cs="宋体"/>
                <w:sz w:val="24"/>
                <w:szCs w:val="24"/>
                <w:lang w:val="zh-TW"/>
              </w:rPr>
              <w:t>耐碳青</w:t>
            </w:r>
            <w:r>
              <w:rPr>
                <w:rFonts w:hint="eastAsia" w:ascii="宋体" w:hAnsi="宋体" w:eastAsia="宋体" w:cs="宋体"/>
                <w:sz w:val="24"/>
                <w:szCs w:val="24"/>
                <w:lang w:val="zh-TW" w:eastAsia="zh-TW"/>
              </w:rPr>
              <w:t>霉烯类抗菌药物铜绿假单胞菌（CR-PA）、</w:t>
            </w:r>
            <w:r>
              <w:rPr>
                <w:rFonts w:hint="eastAsia" w:ascii="宋体" w:hAnsi="宋体" w:eastAsia="宋体" w:cs="宋体"/>
                <w:sz w:val="24"/>
                <w:szCs w:val="24"/>
              </w:rPr>
              <w:t>耐碳青霉烯类抗菌药物肠杆菌科细菌(CRE)、耐碳青霉烯类抗菌药物鲍曼不动杆菌(CR-AB)、耐万古霉素肠球菌(VRE)、耐万古霉素金黄色葡萄球菌(VRSA)、产超广谱β-内酰胺酶疑似菌株（ESBLs）；</w:t>
            </w:r>
          </w:p>
          <w:p w14:paraId="434DCACA">
            <w:pPr>
              <w:pStyle w:val="11"/>
              <w:numPr>
                <w:ilvl w:val="0"/>
                <w:numId w:val="23"/>
              </w:numPr>
              <w:ind w:firstLineChars="0"/>
              <w:rPr>
                <w:rFonts w:ascii="宋体" w:hAnsi="宋体" w:eastAsia="宋体" w:cs="宋体"/>
                <w:sz w:val="24"/>
                <w:szCs w:val="24"/>
                <w:lang w:val="zh-TW"/>
              </w:rPr>
            </w:pPr>
            <w:r>
              <w:rPr>
                <w:rFonts w:hint="eastAsia" w:ascii="宋体" w:hAnsi="宋体" w:eastAsia="宋体" w:cs="宋体"/>
                <w:sz w:val="24"/>
                <w:szCs w:val="24"/>
                <w:lang w:val="zh-TW" w:eastAsia="zh-TW"/>
              </w:rPr>
              <w:t>提供重点监测细菌可定制化操作界面，通过简单的点与选可完成对重点监测细菌的增加、修改、停用的操作；</w:t>
            </w:r>
          </w:p>
          <w:p w14:paraId="1A697097">
            <w:pPr>
              <w:pStyle w:val="11"/>
              <w:numPr>
                <w:ilvl w:val="0"/>
                <w:numId w:val="23"/>
              </w:numPr>
              <w:ind w:firstLineChars="0"/>
              <w:rPr>
                <w:rFonts w:ascii="宋体" w:hAnsi="宋体" w:eastAsia="宋体" w:cs="宋体"/>
                <w:sz w:val="24"/>
                <w:szCs w:val="24"/>
                <w:lang w:val="zh-TW"/>
              </w:rPr>
            </w:pPr>
            <w:r>
              <w:rPr>
                <w:rFonts w:hint="eastAsia" w:ascii="宋体" w:hAnsi="宋体" w:eastAsia="宋体" w:cs="宋体"/>
                <w:sz w:val="24"/>
                <w:szCs w:val="24"/>
                <w:lang w:val="zh-TW" w:eastAsia="zh-TW"/>
              </w:rPr>
              <w:t>重点监测细菌内容可随医院细菌监测业务的变化随之调整，如对金黄色葡萄球菌作为重点菌，则增加成功后；或增加大肠埃希菌对碳青霉烯类中亚胺培南、美罗培南、厄他培南任一耐药（CR-CEO），增加成功后，立即生效；</w:t>
            </w:r>
          </w:p>
          <w:p w14:paraId="5A111617">
            <w:pPr>
              <w:pStyle w:val="11"/>
              <w:numPr>
                <w:ilvl w:val="0"/>
                <w:numId w:val="23"/>
              </w:numPr>
              <w:ind w:firstLineChars="0"/>
              <w:rPr>
                <w:rFonts w:ascii="宋体" w:hAnsi="宋体" w:eastAsia="宋体" w:cs="宋体"/>
                <w:sz w:val="24"/>
                <w:szCs w:val="24"/>
                <w:lang w:val="zh-TW"/>
              </w:rPr>
            </w:pPr>
            <w:r>
              <w:rPr>
                <w:rFonts w:hint="eastAsia" w:ascii="宋体" w:hAnsi="宋体" w:eastAsia="宋体" w:cs="宋体"/>
                <w:sz w:val="24"/>
                <w:szCs w:val="24"/>
                <w:lang w:val="zh-TW" w:eastAsia="zh-TW"/>
              </w:rPr>
              <w:t>重点监测菌的菌对药物药敏结果可以设定耐药或耐药+中介，两种方式，设定规则独立，互不影响；</w:t>
            </w:r>
          </w:p>
        </w:tc>
      </w:tr>
      <w:tr w14:paraId="6A33CD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EBCB4">
            <w:pPr>
              <w:widowControl/>
              <w:jc w:val="center"/>
              <w:rPr>
                <w:rFonts w:ascii="宋体" w:hAnsi="宋体" w:eastAsia="宋体" w:cs="宋体"/>
                <w:sz w:val="24"/>
                <w:szCs w:val="24"/>
              </w:rPr>
            </w:pPr>
            <w:r>
              <w:rPr>
                <w:rFonts w:hint="eastAsia" w:ascii="宋体" w:hAnsi="宋体" w:eastAsia="宋体" w:cs="宋体"/>
                <w:sz w:val="24"/>
                <w:szCs w:val="24"/>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99F950">
            <w:pPr>
              <w:widowControl/>
              <w:jc w:val="center"/>
              <w:rPr>
                <w:rFonts w:ascii="宋体" w:hAnsi="宋体" w:eastAsia="宋体" w:cs="宋体"/>
                <w:sz w:val="24"/>
                <w:szCs w:val="24"/>
              </w:rPr>
            </w:pPr>
            <w:r>
              <w:rPr>
                <w:rFonts w:hint="eastAsia" w:ascii="宋体" w:hAnsi="宋体" w:eastAsia="宋体" w:cs="宋体"/>
                <w:sz w:val="24"/>
                <w:szCs w:val="24"/>
                <w:lang w:val="zh-TW" w:eastAsia="zh-TW"/>
              </w:rPr>
              <w:t>临床</w:t>
            </w:r>
            <w:r>
              <w:rPr>
                <w:rFonts w:hint="eastAsia" w:ascii="宋体" w:hAnsi="宋体" w:eastAsia="宋体" w:cs="宋体"/>
                <w:sz w:val="24"/>
                <w:szCs w:val="24"/>
                <w:lang w:val="zh-TW"/>
              </w:rPr>
              <w:t>感控</w:t>
            </w:r>
            <w:r>
              <w:rPr>
                <w:rFonts w:hint="eastAsia" w:ascii="宋体" w:hAnsi="宋体" w:eastAsia="宋体" w:cs="宋体"/>
                <w:sz w:val="24"/>
                <w:szCs w:val="24"/>
                <w:lang w:val="zh-TW" w:eastAsia="zh-TW"/>
              </w:rPr>
              <w:t>工作站</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0FE6D8B">
            <w:pPr>
              <w:pStyle w:val="11"/>
              <w:numPr>
                <w:ilvl w:val="0"/>
                <w:numId w:val="2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支持单个用户管辖多科室时，提供临床用户进行科室切换的操作；</w:t>
            </w:r>
          </w:p>
          <w:p w14:paraId="4BBD5486">
            <w:pPr>
              <w:pStyle w:val="11"/>
              <w:numPr>
                <w:ilvl w:val="0"/>
                <w:numId w:val="2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支持打开工作站直接查看当前科室的疑似感染病例，并可对疑似并进行上报或排除操作；</w:t>
            </w:r>
          </w:p>
          <w:p w14:paraId="39606927">
            <w:pPr>
              <w:pStyle w:val="11"/>
              <w:numPr>
                <w:ilvl w:val="0"/>
                <w:numId w:val="2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支持按管床医生视角查看所管患者的疑似感染病例；</w:t>
            </w:r>
          </w:p>
          <w:p w14:paraId="42AEDA27">
            <w:pPr>
              <w:pStyle w:val="11"/>
              <w:numPr>
                <w:ilvl w:val="0"/>
                <w:numId w:val="2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支持查看患者历史上报感染病例报卡合计数，并可穿透感染病例报卡明细内容；</w:t>
            </w:r>
          </w:p>
          <w:p w14:paraId="48F3F3F7">
            <w:pPr>
              <w:pStyle w:val="11"/>
              <w:numPr>
                <w:ilvl w:val="0"/>
                <w:numId w:val="2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支持对患者主动感染病例的上报，自动获取患者基本信息，完善感染病例信息、医院感染诊断依据、易感因素、插管相关性、致病菌信息，对既往已报过同类感染诊断友好提示，并可穿透查看此病例；</w:t>
            </w:r>
          </w:p>
          <w:p w14:paraId="51E336DA">
            <w:pPr>
              <w:pStyle w:val="11"/>
              <w:numPr>
                <w:ilvl w:val="0"/>
                <w:numId w:val="2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支持对曾转科至本科室及从本科室出院的患者搜索，并进行病例上报；</w:t>
            </w:r>
          </w:p>
          <w:p w14:paraId="14BC2729">
            <w:pPr>
              <w:pStyle w:val="11"/>
              <w:numPr>
                <w:ilvl w:val="0"/>
                <w:numId w:val="2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支持临床用户对</w:t>
            </w:r>
            <w:r>
              <w:rPr>
                <w:rFonts w:hint="eastAsia" w:ascii="宋体" w:hAnsi="宋体" w:eastAsia="宋体" w:cs="宋体"/>
                <w:sz w:val="24"/>
                <w:szCs w:val="24"/>
              </w:rPr>
              <w:t>ICU</w:t>
            </w:r>
            <w:r>
              <w:rPr>
                <w:rFonts w:hint="eastAsia" w:ascii="宋体" w:hAnsi="宋体" w:eastAsia="宋体" w:cs="宋体"/>
                <w:sz w:val="24"/>
                <w:szCs w:val="24"/>
                <w:lang w:val="zh-TW" w:eastAsia="zh-TW"/>
              </w:rPr>
              <w:t>患者进行临床病情等级评定；</w:t>
            </w:r>
          </w:p>
          <w:p w14:paraId="1136FAD5">
            <w:pPr>
              <w:pStyle w:val="11"/>
              <w:numPr>
                <w:ilvl w:val="0"/>
                <w:numId w:val="2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w:t>
            </w:r>
            <w:r>
              <w:rPr>
                <w:rFonts w:hint="eastAsia" w:ascii="宋体" w:hAnsi="宋体" w:eastAsia="宋体" w:cs="宋体"/>
                <w:sz w:val="24"/>
                <w:szCs w:val="24"/>
              </w:rPr>
              <w:t>2018</w:t>
            </w:r>
            <w:r>
              <w:rPr>
                <w:rFonts w:hint="eastAsia" w:ascii="宋体" w:hAnsi="宋体" w:eastAsia="宋体" w:cs="宋体"/>
                <w:sz w:val="24"/>
                <w:szCs w:val="24"/>
                <w:lang w:val="zh-TW" w:eastAsia="zh-TW"/>
              </w:rPr>
              <w:t>年版医院感染横断面调查信息的录入；</w:t>
            </w:r>
          </w:p>
          <w:p w14:paraId="054173EE">
            <w:pPr>
              <w:pStyle w:val="11"/>
              <w:numPr>
                <w:ilvl w:val="0"/>
                <w:numId w:val="24"/>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支持职业暴露在线填写暴露信息，并上报至感控科；</w:t>
            </w:r>
          </w:p>
          <w:p w14:paraId="3B092DEE">
            <w:pPr>
              <w:pStyle w:val="11"/>
              <w:numPr>
                <w:ilvl w:val="0"/>
                <w:numId w:val="24"/>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支持感控兼职人员及微生物室对环境卫生消毒药械监测内容填报，单个用户可管辖多科室。</w:t>
            </w:r>
          </w:p>
        </w:tc>
      </w:tr>
      <w:tr w14:paraId="222CE1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596030">
            <w:pPr>
              <w:widowControl/>
              <w:jc w:val="center"/>
              <w:rPr>
                <w:rFonts w:ascii="宋体" w:hAnsi="宋体" w:eastAsia="宋体" w:cs="宋体"/>
                <w:sz w:val="24"/>
                <w:szCs w:val="24"/>
              </w:rPr>
            </w:pPr>
            <w:r>
              <w:rPr>
                <w:rFonts w:hint="eastAsia" w:ascii="宋体" w:hAnsi="宋体" w:eastAsia="宋体" w:cs="宋体"/>
                <w:sz w:val="24"/>
                <w:szCs w:val="24"/>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C0C9E">
            <w:pPr>
              <w:widowControl/>
              <w:jc w:val="center"/>
              <w:rPr>
                <w:rFonts w:ascii="宋体" w:hAnsi="宋体" w:eastAsia="宋体" w:cs="宋体"/>
                <w:sz w:val="24"/>
                <w:szCs w:val="24"/>
              </w:rPr>
            </w:pPr>
            <w:r>
              <w:rPr>
                <w:rFonts w:hint="eastAsia" w:ascii="宋体" w:hAnsi="宋体" w:eastAsia="宋体" w:cs="宋体"/>
                <w:sz w:val="24"/>
                <w:szCs w:val="24"/>
                <w:lang w:val="zh-TW" w:eastAsia="zh-TW"/>
              </w:rPr>
              <w:t>嵌入式报卡</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20CFAEA">
            <w:pPr>
              <w:pStyle w:val="11"/>
              <w:numPr>
                <w:ilvl w:val="0"/>
                <w:numId w:val="25"/>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支持嵌入式调用页面链接给</w:t>
            </w:r>
            <w:r>
              <w:rPr>
                <w:rFonts w:hint="eastAsia" w:ascii="宋体" w:hAnsi="宋体" w:eastAsia="宋体" w:cs="宋体"/>
                <w:sz w:val="24"/>
                <w:szCs w:val="24"/>
              </w:rPr>
              <w:t>HIS</w:t>
            </w:r>
            <w:r>
              <w:rPr>
                <w:rFonts w:hint="eastAsia" w:ascii="宋体" w:hAnsi="宋体" w:eastAsia="宋体" w:cs="宋体"/>
                <w:sz w:val="24"/>
                <w:szCs w:val="24"/>
                <w:lang w:val="zh-TW" w:eastAsia="zh-TW"/>
              </w:rPr>
              <w:t>、电子病历系统进行院感相关功能的调用，实现与</w:t>
            </w:r>
            <w:r>
              <w:rPr>
                <w:rFonts w:hint="eastAsia" w:ascii="宋体" w:hAnsi="宋体" w:eastAsia="宋体" w:cs="宋体"/>
                <w:sz w:val="24"/>
                <w:szCs w:val="24"/>
              </w:rPr>
              <w:t>HIS</w:t>
            </w:r>
            <w:r>
              <w:rPr>
                <w:rFonts w:hint="eastAsia" w:ascii="宋体" w:hAnsi="宋体" w:eastAsia="宋体" w:cs="宋体"/>
                <w:sz w:val="24"/>
                <w:szCs w:val="24"/>
                <w:lang w:val="zh-TW" w:eastAsia="zh-TW"/>
              </w:rPr>
              <w:t>、电子病历系统的无缝对接；</w:t>
            </w:r>
          </w:p>
          <w:p w14:paraId="3702C3F7">
            <w:pPr>
              <w:pStyle w:val="11"/>
              <w:numPr>
                <w:ilvl w:val="0"/>
                <w:numId w:val="25"/>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支持多种开发语言的程序调用，如</w:t>
            </w:r>
            <w:r>
              <w:rPr>
                <w:rFonts w:hint="eastAsia" w:ascii="宋体" w:hAnsi="宋体" w:eastAsia="宋体" w:cs="宋体"/>
                <w:sz w:val="24"/>
                <w:szCs w:val="24"/>
              </w:rPr>
              <w:t>DELPHI</w:t>
            </w:r>
            <w:r>
              <w:rPr>
                <w:rFonts w:hint="eastAsia" w:ascii="宋体" w:hAnsi="宋体" w:eastAsia="宋体" w:cs="宋体"/>
                <w:sz w:val="24"/>
                <w:szCs w:val="24"/>
                <w:lang w:val="zh-TW" w:eastAsia="zh-TW"/>
              </w:rPr>
              <w:t>、</w:t>
            </w:r>
            <w:r>
              <w:rPr>
                <w:rFonts w:hint="eastAsia" w:ascii="宋体" w:hAnsi="宋体" w:eastAsia="宋体" w:cs="宋体"/>
                <w:sz w:val="24"/>
                <w:szCs w:val="24"/>
              </w:rPr>
              <w:t>PB</w:t>
            </w:r>
            <w:r>
              <w:rPr>
                <w:rFonts w:hint="eastAsia" w:ascii="宋体" w:hAnsi="宋体" w:eastAsia="宋体" w:cs="宋体"/>
                <w:sz w:val="24"/>
                <w:szCs w:val="24"/>
                <w:lang w:val="zh-TW" w:eastAsia="zh-TW"/>
              </w:rPr>
              <w:t>、</w:t>
            </w:r>
            <w:r>
              <w:rPr>
                <w:rFonts w:hint="eastAsia" w:ascii="宋体" w:hAnsi="宋体" w:eastAsia="宋体" w:cs="宋体"/>
                <w:sz w:val="24"/>
                <w:szCs w:val="24"/>
              </w:rPr>
              <w:t>C#</w:t>
            </w:r>
            <w:r>
              <w:rPr>
                <w:rFonts w:hint="eastAsia" w:ascii="宋体" w:hAnsi="宋体" w:eastAsia="宋体" w:cs="宋体"/>
                <w:sz w:val="24"/>
                <w:szCs w:val="24"/>
                <w:lang w:val="zh-TW" w:eastAsia="zh-TW"/>
              </w:rPr>
              <w:t>、</w:t>
            </w:r>
            <w:r>
              <w:rPr>
                <w:rFonts w:hint="eastAsia" w:ascii="宋体" w:hAnsi="宋体" w:eastAsia="宋体" w:cs="宋体"/>
                <w:sz w:val="24"/>
                <w:szCs w:val="24"/>
              </w:rPr>
              <w:t>JAVA</w:t>
            </w:r>
            <w:r>
              <w:rPr>
                <w:rFonts w:hint="eastAsia" w:ascii="宋体" w:hAnsi="宋体" w:eastAsia="宋体" w:cs="宋体"/>
                <w:sz w:val="24"/>
                <w:szCs w:val="24"/>
                <w:lang w:val="zh-TW" w:eastAsia="zh-TW"/>
              </w:rPr>
              <w:t>、</w:t>
            </w:r>
            <w:r>
              <w:rPr>
                <w:rFonts w:hint="eastAsia" w:ascii="宋体" w:hAnsi="宋体" w:eastAsia="宋体" w:cs="宋体"/>
                <w:sz w:val="24"/>
                <w:szCs w:val="24"/>
              </w:rPr>
              <w:t>PHP</w:t>
            </w:r>
            <w:r>
              <w:rPr>
                <w:rFonts w:hint="eastAsia" w:ascii="宋体" w:hAnsi="宋体" w:eastAsia="宋体" w:cs="宋体"/>
                <w:sz w:val="24"/>
                <w:szCs w:val="24"/>
                <w:lang w:val="zh-TW" w:eastAsia="zh-TW"/>
              </w:rPr>
              <w:t>常用开发语言的实例，调用简单；</w:t>
            </w:r>
          </w:p>
          <w:p w14:paraId="0024B639">
            <w:pPr>
              <w:pStyle w:val="11"/>
              <w:numPr>
                <w:ilvl w:val="0"/>
                <w:numId w:val="25"/>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支持报卡完全</w:t>
            </w:r>
            <w:r>
              <w:rPr>
                <w:rFonts w:hint="eastAsia" w:ascii="宋体" w:hAnsi="宋体" w:eastAsia="宋体" w:cs="宋体"/>
                <w:sz w:val="24"/>
                <w:szCs w:val="24"/>
              </w:rPr>
              <w:t>B/S</w:t>
            </w:r>
            <w:r>
              <w:rPr>
                <w:rFonts w:hint="eastAsia" w:ascii="宋体" w:hAnsi="宋体" w:eastAsia="宋体" w:cs="宋体"/>
                <w:sz w:val="24"/>
                <w:szCs w:val="24"/>
                <w:lang w:val="zh-TW" w:eastAsia="zh-TW"/>
              </w:rPr>
              <w:t>（浏览器）模式，更加方便、快捷、灵活；</w:t>
            </w:r>
          </w:p>
          <w:p w14:paraId="1B6F53DE">
            <w:pPr>
              <w:pStyle w:val="11"/>
              <w:numPr>
                <w:ilvl w:val="0"/>
                <w:numId w:val="25"/>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支持感染病例报卡、现患率横断面登记表、职业暴露登记的可调用；</w:t>
            </w:r>
          </w:p>
          <w:p w14:paraId="18F1371B">
            <w:pPr>
              <w:pStyle w:val="11"/>
              <w:numPr>
                <w:ilvl w:val="0"/>
                <w:numId w:val="25"/>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支持医生仅需用鼠标点选各项内容（如感染诊断、切口等级、易感因素等），操作方便快捷；</w:t>
            </w:r>
          </w:p>
          <w:p w14:paraId="78DBC54C">
            <w:pPr>
              <w:pStyle w:val="11"/>
              <w:numPr>
                <w:ilvl w:val="0"/>
                <w:numId w:val="25"/>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支持自动提示院感科报告情况。</w:t>
            </w:r>
          </w:p>
        </w:tc>
      </w:tr>
      <w:tr w14:paraId="683638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C78332">
            <w:pPr>
              <w:widowControl/>
              <w:jc w:val="center"/>
              <w:rPr>
                <w:rFonts w:ascii="宋体" w:hAnsi="宋体" w:eastAsia="宋体" w:cs="宋体"/>
                <w:sz w:val="24"/>
                <w:szCs w:val="24"/>
              </w:rPr>
            </w:pPr>
            <w:r>
              <w:rPr>
                <w:rFonts w:hint="eastAsia" w:ascii="宋体" w:hAnsi="宋体" w:eastAsia="宋体" w:cs="宋体"/>
                <w:sz w:val="24"/>
                <w:szCs w:val="24"/>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00D4B4">
            <w:pPr>
              <w:widowControl/>
              <w:jc w:val="center"/>
              <w:rPr>
                <w:rFonts w:ascii="宋体" w:hAnsi="宋体" w:eastAsia="宋体" w:cs="宋体"/>
                <w:sz w:val="24"/>
                <w:szCs w:val="24"/>
              </w:rPr>
            </w:pPr>
            <w:r>
              <w:rPr>
                <w:rFonts w:hint="eastAsia" w:ascii="宋体" w:hAnsi="宋体" w:eastAsia="宋体" w:cs="宋体"/>
                <w:sz w:val="24"/>
                <w:szCs w:val="24"/>
                <w:lang w:val="zh-TW" w:eastAsia="zh-TW"/>
              </w:rPr>
              <w:t>资料分享</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5ECD86E">
            <w:pPr>
              <w:pStyle w:val="11"/>
              <w:numPr>
                <w:ilvl w:val="0"/>
                <w:numId w:val="26"/>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支持感控专职人员对本院感控相关资料分类进行新建、停用；</w:t>
            </w:r>
          </w:p>
          <w:p w14:paraId="5A37C209">
            <w:pPr>
              <w:pStyle w:val="11"/>
              <w:numPr>
                <w:ilvl w:val="0"/>
                <w:numId w:val="26"/>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支持对资料进行上传，归类操作，以便临床人员的下载学习；</w:t>
            </w:r>
          </w:p>
          <w:p w14:paraId="281BB773">
            <w:pPr>
              <w:pStyle w:val="11"/>
              <w:numPr>
                <w:ilvl w:val="0"/>
                <w:numId w:val="26"/>
              </w:numPr>
              <w:tabs>
                <w:tab w:val="left" w:pos="420"/>
              </w:tabs>
              <w:ind w:firstLineChars="0"/>
              <w:jc w:val="left"/>
              <w:rPr>
                <w:rFonts w:ascii="宋体" w:hAnsi="宋体" w:eastAsia="宋体" w:cs="宋体"/>
                <w:sz w:val="24"/>
                <w:szCs w:val="24"/>
                <w:lang w:val="zh-TW"/>
              </w:rPr>
            </w:pPr>
            <w:r>
              <w:rPr>
                <w:rFonts w:hint="eastAsia" w:ascii="宋体" w:hAnsi="宋体" w:eastAsia="宋体" w:cs="宋体"/>
                <w:sz w:val="24"/>
                <w:szCs w:val="24"/>
                <w:lang w:val="zh-TW" w:eastAsia="zh-TW"/>
              </w:rPr>
              <w:t>院内网用户均可登录后下载本院内的感控相关资讯；</w:t>
            </w:r>
          </w:p>
          <w:p w14:paraId="4A598AFF">
            <w:pPr>
              <w:pStyle w:val="11"/>
              <w:numPr>
                <w:ilvl w:val="0"/>
                <w:numId w:val="26"/>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lang w:val="zh-TW" w:eastAsia="zh-TW"/>
              </w:rPr>
              <w:t>支持多种格式文件的上传（包括但不止</w:t>
            </w:r>
            <w:r>
              <w:rPr>
                <w:rFonts w:hint="eastAsia" w:ascii="宋体" w:hAnsi="宋体" w:eastAsia="宋体" w:cs="宋体"/>
                <w:sz w:val="24"/>
                <w:szCs w:val="24"/>
              </w:rPr>
              <w:t>ppt</w:t>
            </w:r>
            <w:r>
              <w:rPr>
                <w:rFonts w:hint="eastAsia" w:ascii="宋体" w:hAnsi="宋体" w:eastAsia="宋体" w:cs="宋体"/>
                <w:sz w:val="24"/>
                <w:szCs w:val="24"/>
                <w:lang w:val="zh-TW" w:eastAsia="zh-TW"/>
              </w:rPr>
              <w:t>、</w:t>
            </w:r>
            <w:r>
              <w:rPr>
                <w:rFonts w:hint="eastAsia" w:ascii="宋体" w:hAnsi="宋体" w:eastAsia="宋体" w:cs="宋体"/>
                <w:sz w:val="24"/>
                <w:szCs w:val="24"/>
              </w:rPr>
              <w:t>word</w:t>
            </w:r>
            <w:r>
              <w:rPr>
                <w:rFonts w:hint="eastAsia" w:ascii="宋体" w:hAnsi="宋体" w:eastAsia="宋体" w:cs="宋体"/>
                <w:sz w:val="24"/>
                <w:szCs w:val="24"/>
                <w:lang w:val="zh-TW" w:eastAsia="zh-TW"/>
              </w:rPr>
              <w:t>、</w:t>
            </w:r>
            <w:r>
              <w:rPr>
                <w:rFonts w:hint="eastAsia" w:ascii="宋体" w:hAnsi="宋体" w:eastAsia="宋体" w:cs="宋体"/>
                <w:sz w:val="24"/>
                <w:szCs w:val="24"/>
              </w:rPr>
              <w:t>excel</w:t>
            </w:r>
            <w:r>
              <w:rPr>
                <w:rFonts w:hint="eastAsia" w:ascii="宋体" w:hAnsi="宋体" w:eastAsia="宋体" w:cs="宋体"/>
                <w:sz w:val="24"/>
                <w:szCs w:val="24"/>
                <w:lang w:val="zh-TW" w:eastAsia="zh-TW"/>
              </w:rPr>
              <w:t>、</w:t>
            </w:r>
            <w:r>
              <w:rPr>
                <w:rFonts w:hint="eastAsia" w:ascii="宋体" w:hAnsi="宋体" w:eastAsia="宋体" w:cs="宋体"/>
                <w:sz w:val="24"/>
                <w:szCs w:val="24"/>
              </w:rPr>
              <w:t>pdf</w:t>
            </w:r>
            <w:r>
              <w:rPr>
                <w:rFonts w:hint="eastAsia" w:ascii="宋体" w:hAnsi="宋体" w:eastAsia="宋体" w:cs="宋体"/>
                <w:sz w:val="24"/>
                <w:szCs w:val="24"/>
                <w:lang w:val="zh-TW" w:eastAsia="zh-TW"/>
              </w:rPr>
              <w:t>）</w:t>
            </w:r>
          </w:p>
        </w:tc>
      </w:tr>
      <w:tr w14:paraId="33928B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2CB922">
            <w:pPr>
              <w:widowControl/>
              <w:jc w:val="center"/>
              <w:rPr>
                <w:rFonts w:ascii="宋体" w:hAnsi="宋体" w:eastAsia="宋体" w:cs="宋体"/>
                <w:sz w:val="24"/>
                <w:szCs w:val="24"/>
              </w:rPr>
            </w:pPr>
            <w:r>
              <w:rPr>
                <w:rFonts w:hint="eastAsia" w:ascii="宋体" w:hAnsi="宋体" w:eastAsia="宋体" w:cs="宋体"/>
                <w:sz w:val="24"/>
                <w:szCs w:val="24"/>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C6FF7A">
            <w:pPr>
              <w:widowControl/>
              <w:jc w:val="center"/>
              <w:rPr>
                <w:rFonts w:ascii="宋体" w:hAnsi="宋体" w:eastAsia="宋体" w:cs="宋体"/>
                <w:sz w:val="24"/>
                <w:szCs w:val="24"/>
              </w:rPr>
            </w:pPr>
            <w:r>
              <w:rPr>
                <w:rFonts w:hint="eastAsia" w:ascii="宋体" w:hAnsi="宋体" w:eastAsia="宋体" w:cs="宋体"/>
                <w:sz w:val="24"/>
                <w:szCs w:val="24"/>
              </w:rPr>
              <w:t>知识库(考试系统)</w:t>
            </w:r>
          </w:p>
        </w:tc>
        <w:tc>
          <w:tcPr>
            <w:tcW w:w="75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E43D905">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提供在线考试平台管理模块；</w:t>
            </w:r>
          </w:p>
          <w:p w14:paraId="2BE95C4D">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多种文件格式学习材料提供上传和下载管理；</w:t>
            </w:r>
          </w:p>
          <w:p w14:paraId="3286B464">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内置医院感染考试题库数达5400+，每个题目设有知识标签分类，包括行业标准、感染性疾病诊断、职业防护、医疗废物、手卫生、消毒灭菌、医院感染与暴发、织物清洗等；</w:t>
            </w:r>
          </w:p>
          <w:p w14:paraId="74C31F91">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支持考试题库新增、编辑、删除、统计功能；</w:t>
            </w:r>
          </w:p>
          <w:p w14:paraId="7C9EE333">
            <w:pPr>
              <w:numPr>
                <w:ilvl w:val="0"/>
                <w:numId w:val="27"/>
              </w:numPr>
              <w:rPr>
                <w:rFonts w:ascii="宋体" w:hAnsi="宋体" w:eastAsia="宋体" w:cs="宋体"/>
                <w:sz w:val="24"/>
                <w:szCs w:val="24"/>
              </w:rPr>
            </w:pPr>
            <w:r>
              <w:rPr>
                <w:rFonts w:hint="eastAsia" w:ascii="宋体" w:hAnsi="宋体" w:eastAsia="宋体" w:cs="宋体"/>
                <w:sz w:val="24"/>
                <w:szCs w:val="24"/>
              </w:rPr>
              <w:t>支持视频学习，可在线发布与查看视频，系统记录学员的有效学习时间，并对学员的学习效果进行评估。支持学习后，学员进行对应的考试测评，测评后记录保存学员的测评时间及分数；</w:t>
            </w:r>
          </w:p>
          <w:p w14:paraId="767F2086">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批量导入题库及题目功能；</w:t>
            </w:r>
          </w:p>
          <w:p w14:paraId="060F9E68">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对题目进行编辑、删除、新增功能；</w:t>
            </w:r>
          </w:p>
          <w:p w14:paraId="203CBAA6">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试卷新增 、删除、编辑、导出、统计分析功能；</w:t>
            </w:r>
          </w:p>
          <w:p w14:paraId="54D134FD">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系统自动随机试卷功能；</w:t>
            </w:r>
          </w:p>
          <w:p w14:paraId="78EAC112">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可以创建固定试卷功能；</w:t>
            </w:r>
          </w:p>
          <w:p w14:paraId="60FDD6B5">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对单选、多选、判断等多种题型自动算分、自动解析功能；</w:t>
            </w:r>
          </w:p>
          <w:p w14:paraId="0522D1AC">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对试题正确率详细分析；</w:t>
            </w:r>
          </w:p>
          <w:p w14:paraId="23D266E3">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对分数统计，包括最高分、最低分、低分人数、低分率、 平均分、及格人数、及格率、优分人数、优分率及参加人数、缺考人数等；</w:t>
            </w:r>
          </w:p>
          <w:p w14:paraId="59C1DD2B">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可以按科室统计不同分数区间得分人数；</w:t>
            </w:r>
          </w:p>
          <w:p w14:paraId="7D4E9821">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用户自主选择在线考试时间，考试时自动时间提示；</w:t>
            </w:r>
          </w:p>
          <w:p w14:paraId="4B2F1E34">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试卷对不同用户、用户组配置功能；</w:t>
            </w:r>
          </w:p>
          <w:p w14:paraId="69A6803D">
            <w:pPr>
              <w:pStyle w:val="11"/>
              <w:numPr>
                <w:ilvl w:val="0"/>
                <w:numId w:val="27"/>
              </w:numPr>
              <w:tabs>
                <w:tab w:val="left" w:pos="420"/>
              </w:tabs>
              <w:ind w:firstLineChars="0"/>
              <w:jc w:val="left"/>
              <w:rPr>
                <w:rFonts w:ascii="宋体" w:hAnsi="宋体" w:eastAsia="宋体" w:cs="宋体"/>
                <w:sz w:val="24"/>
                <w:szCs w:val="24"/>
              </w:rPr>
            </w:pPr>
            <w:r>
              <w:rPr>
                <w:rFonts w:hint="eastAsia" w:ascii="宋体" w:hAnsi="宋体" w:eastAsia="宋体" w:cs="宋体"/>
                <w:sz w:val="24"/>
                <w:szCs w:val="24"/>
              </w:rPr>
              <w:t>提供在线专题练习、自动评分、自动解析功能；</w:t>
            </w:r>
          </w:p>
        </w:tc>
      </w:tr>
    </w:tbl>
    <w:p w14:paraId="5FA3B016">
      <w:pPr>
        <w:pStyle w:val="11"/>
        <w:numPr>
          <w:ilvl w:val="0"/>
          <w:numId w:val="0"/>
        </w:numPr>
        <w:autoSpaceDN w:val="0"/>
        <w:spacing w:line="360" w:lineRule="auto"/>
        <w:ind w:left="281" w:leftChars="0"/>
        <w:rPr>
          <w:rFonts w:hint="eastAsia" w:eastAsiaTheme="minorEastAsia"/>
          <w:b/>
          <w:sz w:val="28"/>
          <w:lang w:val="en-US" w:eastAsia="zh-CN"/>
        </w:rPr>
      </w:pPr>
      <w:r>
        <w:rPr>
          <w:rFonts w:hint="eastAsia"/>
          <w:b/>
          <w:sz w:val="28"/>
          <w:lang w:val="en-US" w:eastAsia="zh-CN"/>
        </w:rPr>
        <w:t>2.公共卫生监测系统</w:t>
      </w:r>
    </w:p>
    <w:tbl>
      <w:tblPr>
        <w:tblStyle w:val="8"/>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58"/>
        <w:gridCol w:w="6228"/>
      </w:tblGrid>
      <w:tr w14:paraId="6243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779D330">
            <w:pPr>
              <w:jc w:val="center"/>
              <w:rPr>
                <w:b/>
              </w:rPr>
            </w:pPr>
            <w:r>
              <w:rPr>
                <w:rFonts w:hint="eastAsia"/>
                <w:b/>
              </w:rPr>
              <w:t>序号</w:t>
            </w:r>
          </w:p>
        </w:tc>
        <w:tc>
          <w:tcPr>
            <w:tcW w:w="2258" w:type="dxa"/>
          </w:tcPr>
          <w:p w14:paraId="27A7B20E">
            <w:pPr>
              <w:jc w:val="center"/>
              <w:rPr>
                <w:b/>
              </w:rPr>
            </w:pPr>
            <w:r>
              <w:rPr>
                <w:rFonts w:hint="eastAsia"/>
                <w:b/>
              </w:rPr>
              <w:t>功能</w:t>
            </w:r>
            <w:r>
              <w:rPr>
                <w:b/>
              </w:rPr>
              <w:t>模块</w:t>
            </w:r>
          </w:p>
        </w:tc>
        <w:tc>
          <w:tcPr>
            <w:tcW w:w="6228" w:type="dxa"/>
          </w:tcPr>
          <w:p w14:paraId="67667FDA">
            <w:pPr>
              <w:jc w:val="center"/>
              <w:rPr>
                <w:b/>
              </w:rPr>
            </w:pPr>
            <w:r>
              <w:rPr>
                <w:rFonts w:hint="eastAsia"/>
                <w:b/>
              </w:rPr>
              <w:t>具体功能参数及要求</w:t>
            </w:r>
          </w:p>
        </w:tc>
      </w:tr>
      <w:tr w14:paraId="5CA4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5A5B3E61">
            <w:pPr>
              <w:jc w:val="center"/>
            </w:pPr>
            <w:r>
              <w:rPr>
                <w:rFonts w:hint="eastAsia"/>
              </w:rPr>
              <w:t>1</w:t>
            </w:r>
          </w:p>
        </w:tc>
        <w:tc>
          <w:tcPr>
            <w:tcW w:w="2258" w:type="dxa"/>
            <w:vAlign w:val="center"/>
          </w:tcPr>
          <w:p w14:paraId="7974E58D">
            <w:pPr>
              <w:jc w:val="center"/>
            </w:pPr>
            <w:r>
              <w:rPr>
                <w:rFonts w:hint="eastAsia"/>
              </w:rPr>
              <w:t>标准与规范</w:t>
            </w:r>
          </w:p>
        </w:tc>
        <w:tc>
          <w:tcPr>
            <w:tcW w:w="6228" w:type="dxa"/>
          </w:tcPr>
          <w:p w14:paraId="14975C05">
            <w:pPr>
              <w:pStyle w:val="12"/>
              <w:numPr>
                <w:ilvl w:val="0"/>
                <w:numId w:val="28"/>
              </w:numPr>
              <w:ind w:firstLineChars="0"/>
              <w:rPr>
                <w:rFonts w:ascii="宋体" w:hAnsi="宋体"/>
                <w:szCs w:val="21"/>
              </w:rPr>
            </w:pPr>
            <w:r>
              <w:rPr>
                <w:rFonts w:hint="eastAsia" w:ascii="宋体" w:hAnsi="宋体"/>
                <w:szCs w:val="21"/>
              </w:rPr>
              <w:t>符合《中华人民共和国传染病防治法》对传染病防控的要求</w:t>
            </w:r>
          </w:p>
          <w:p w14:paraId="0DB1E0CB">
            <w:pPr>
              <w:pStyle w:val="12"/>
              <w:numPr>
                <w:ilvl w:val="0"/>
                <w:numId w:val="28"/>
              </w:numPr>
              <w:ind w:firstLineChars="0"/>
              <w:rPr>
                <w:rFonts w:ascii="宋体" w:hAnsi="宋体"/>
                <w:szCs w:val="21"/>
              </w:rPr>
            </w:pPr>
            <w:r>
              <w:rPr>
                <w:rFonts w:hint="eastAsia" w:ascii="宋体" w:hAnsi="宋体"/>
                <w:szCs w:val="21"/>
              </w:rPr>
              <w:t>符合《传染病信息报告管理规范2015版》对传染病管理的要求</w:t>
            </w:r>
          </w:p>
          <w:p w14:paraId="7C098F54">
            <w:pPr>
              <w:pStyle w:val="12"/>
              <w:numPr>
                <w:ilvl w:val="0"/>
                <w:numId w:val="28"/>
              </w:numPr>
              <w:ind w:firstLineChars="0"/>
              <w:rPr>
                <w:rFonts w:ascii="宋体" w:hAnsi="宋体"/>
                <w:szCs w:val="21"/>
              </w:rPr>
            </w:pPr>
            <w:r>
              <w:rPr>
                <w:rFonts w:hint="eastAsia" w:ascii="宋体" w:hAnsi="宋体"/>
                <w:szCs w:val="21"/>
              </w:rPr>
              <w:t>符合</w:t>
            </w:r>
            <w:r>
              <w:rPr>
                <w:rFonts w:hint="eastAsia"/>
              </w:rPr>
              <w:t>《全国传染病信息报告管理工作技术指南</w:t>
            </w:r>
            <w:r>
              <w:rPr>
                <w:rFonts w:hint="eastAsia" w:ascii="宋体" w:hAnsi="宋体"/>
                <w:szCs w:val="21"/>
              </w:rPr>
              <w:t>2022版》对传</w:t>
            </w:r>
            <w:r>
              <w:rPr>
                <w:rFonts w:hint="eastAsia"/>
              </w:rPr>
              <w:t>染病管理的要求</w:t>
            </w:r>
          </w:p>
          <w:p w14:paraId="15CC8394">
            <w:pPr>
              <w:pStyle w:val="12"/>
              <w:numPr>
                <w:ilvl w:val="0"/>
                <w:numId w:val="28"/>
              </w:numPr>
              <w:ind w:firstLineChars="0"/>
              <w:rPr>
                <w:rFonts w:ascii="宋体" w:hAnsi="宋体"/>
                <w:szCs w:val="21"/>
              </w:rPr>
            </w:pPr>
            <w:r>
              <w:rPr>
                <w:rFonts w:hint="eastAsia"/>
              </w:rPr>
              <w:t>符合《突发公共卫生事件与传染病疫情监测信息报告管理》的监测要求</w:t>
            </w:r>
          </w:p>
          <w:p w14:paraId="61E07432">
            <w:pPr>
              <w:pStyle w:val="12"/>
              <w:numPr>
                <w:ilvl w:val="0"/>
                <w:numId w:val="28"/>
              </w:numPr>
              <w:ind w:firstLineChars="0"/>
              <w:rPr>
                <w:rFonts w:ascii="宋体" w:hAnsi="宋体"/>
                <w:szCs w:val="21"/>
              </w:rPr>
            </w:pPr>
            <w:r>
              <w:rPr>
                <w:rFonts w:hint="eastAsia"/>
              </w:rPr>
              <w:t>符合《全民健康信息化疾病预防控制信息系统采集交换数据集与统计指标（2019版）》的数据规范要求</w:t>
            </w:r>
          </w:p>
          <w:p w14:paraId="7AD67B2D">
            <w:pPr>
              <w:pStyle w:val="12"/>
              <w:numPr>
                <w:ilvl w:val="0"/>
                <w:numId w:val="28"/>
              </w:numPr>
              <w:ind w:firstLineChars="0"/>
              <w:rPr>
                <w:rFonts w:ascii="宋体" w:hAnsi="宋体"/>
                <w:szCs w:val="21"/>
              </w:rPr>
            </w:pPr>
            <w:r>
              <w:rPr>
                <w:rFonts w:hint="eastAsia"/>
              </w:rPr>
              <w:t>符合《中国居民心脑血管事件监测方案》的要求</w:t>
            </w:r>
          </w:p>
          <w:p w14:paraId="11406576">
            <w:pPr>
              <w:pStyle w:val="12"/>
              <w:numPr>
                <w:ilvl w:val="0"/>
                <w:numId w:val="28"/>
              </w:numPr>
              <w:ind w:firstLineChars="0"/>
              <w:rPr>
                <w:rFonts w:ascii="宋体" w:hAnsi="宋体"/>
                <w:szCs w:val="21"/>
              </w:rPr>
            </w:pPr>
            <w:r>
              <w:rPr>
                <w:rFonts w:hint="eastAsia"/>
              </w:rPr>
              <w:t>符合《全国伤害监测方案》的要求</w:t>
            </w:r>
          </w:p>
          <w:p w14:paraId="6E8119EF">
            <w:pPr>
              <w:pStyle w:val="12"/>
              <w:numPr>
                <w:ilvl w:val="0"/>
                <w:numId w:val="28"/>
              </w:numPr>
              <w:ind w:firstLineChars="0"/>
              <w:rPr>
                <w:rFonts w:ascii="宋体" w:hAnsi="宋体"/>
                <w:szCs w:val="21"/>
              </w:rPr>
            </w:pPr>
            <w:r>
              <w:rPr>
                <w:rFonts w:hint="eastAsia"/>
              </w:rPr>
              <w:t>符合《人口死亡信息登记管理规范(试行）》的要求</w:t>
            </w:r>
          </w:p>
          <w:p w14:paraId="69CCDD42">
            <w:pPr>
              <w:pStyle w:val="12"/>
              <w:numPr>
                <w:ilvl w:val="0"/>
                <w:numId w:val="28"/>
              </w:numPr>
              <w:ind w:firstLineChars="0"/>
              <w:rPr>
                <w:rFonts w:ascii="宋体" w:hAnsi="宋体"/>
                <w:szCs w:val="21"/>
              </w:rPr>
            </w:pPr>
            <w:r>
              <w:rPr>
                <w:rFonts w:hint="eastAsia"/>
              </w:rPr>
              <w:t>符合《医院智慧管理分级评估标准》中对传染病的要求</w:t>
            </w:r>
          </w:p>
          <w:p w14:paraId="73511B7E">
            <w:pPr>
              <w:pStyle w:val="12"/>
              <w:numPr>
                <w:ilvl w:val="0"/>
                <w:numId w:val="28"/>
              </w:numPr>
              <w:ind w:firstLineChars="0"/>
            </w:pPr>
            <w:r>
              <w:rPr>
                <w:rFonts w:hint="eastAsia"/>
              </w:rPr>
              <w:t>符合《三级医院评审标准（2022年版）实施细则》等级医院评审对传染病信息化管理的要求</w:t>
            </w:r>
          </w:p>
          <w:p w14:paraId="0998ADE8">
            <w:pPr>
              <w:pStyle w:val="12"/>
              <w:numPr>
                <w:ilvl w:val="0"/>
                <w:numId w:val="28"/>
              </w:numPr>
              <w:ind w:firstLineChars="0"/>
            </w:pPr>
            <w:r>
              <w:rPr>
                <w:rFonts w:hint="eastAsia"/>
              </w:rPr>
              <w:t>符合《食品安全法》及其实施条例、《食源性疾病监测报告工作规范（试行）》</w:t>
            </w:r>
          </w:p>
          <w:p w14:paraId="41545DF2">
            <w:pPr>
              <w:pStyle w:val="12"/>
              <w:numPr>
                <w:ilvl w:val="0"/>
                <w:numId w:val="28"/>
              </w:numPr>
              <w:ind w:firstLineChars="0"/>
              <w:rPr>
                <w:rFonts w:ascii="宋体" w:hAnsi="宋体"/>
                <w:szCs w:val="21"/>
              </w:rPr>
            </w:pPr>
            <w:r>
              <w:rPr>
                <w:rFonts w:hint="eastAsia"/>
              </w:rPr>
              <w:t>符合2023国家卫生健康委办公厅《关于加快推进食源性疾病病例监测直报工作的通知》</w:t>
            </w:r>
          </w:p>
        </w:tc>
      </w:tr>
      <w:tr w14:paraId="1811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BCDFBF4">
            <w:pPr>
              <w:jc w:val="center"/>
            </w:pPr>
            <w:r>
              <w:rPr>
                <w:rFonts w:hint="eastAsia"/>
              </w:rPr>
              <w:t>2</w:t>
            </w:r>
          </w:p>
        </w:tc>
        <w:tc>
          <w:tcPr>
            <w:tcW w:w="2258" w:type="dxa"/>
            <w:vAlign w:val="center"/>
          </w:tcPr>
          <w:p w14:paraId="68478313">
            <w:pPr>
              <w:jc w:val="center"/>
            </w:pPr>
            <w:r>
              <w:rPr>
                <w:rFonts w:hint="eastAsia"/>
              </w:rPr>
              <w:t>数据对接</w:t>
            </w:r>
          </w:p>
        </w:tc>
        <w:tc>
          <w:tcPr>
            <w:tcW w:w="6228" w:type="dxa"/>
          </w:tcPr>
          <w:p w14:paraId="1A7C5C07">
            <w:pPr>
              <w:pStyle w:val="12"/>
              <w:numPr>
                <w:ilvl w:val="0"/>
                <w:numId w:val="29"/>
              </w:numPr>
              <w:ind w:firstLineChars="0"/>
              <w:rPr>
                <w:rFonts w:ascii="宋体" w:hAnsi="宋体"/>
                <w:szCs w:val="21"/>
              </w:rPr>
            </w:pPr>
            <w:r>
              <w:rPr>
                <w:rFonts w:hint="eastAsia" w:ascii="宋体" w:hAnsi="宋体"/>
                <w:szCs w:val="21"/>
              </w:rPr>
              <w:t>支持与医院现</w:t>
            </w:r>
            <w:r>
              <w:rPr>
                <w:rFonts w:hint="eastAsia" w:ascii="宋体" w:hAnsi="宋体"/>
                <w:color w:val="auto"/>
                <w:szCs w:val="21"/>
              </w:rPr>
              <w:t>有门诊系统与住院系统的数据对接（检验系统、放射影响系统、电子病例系统、手麻系统、移动护理系统、病案系统、国家传染病前置软件等），并</w:t>
            </w:r>
            <w:r>
              <w:rPr>
                <w:rFonts w:hint="eastAsia" w:ascii="宋体" w:hAnsi="宋体"/>
                <w:szCs w:val="21"/>
              </w:rPr>
              <w:t>自动完成各项传染病数据匹配及整理工作，实现信息共享、数据一致</w:t>
            </w:r>
          </w:p>
          <w:p w14:paraId="2FE33024">
            <w:pPr>
              <w:pStyle w:val="12"/>
              <w:numPr>
                <w:ilvl w:val="0"/>
                <w:numId w:val="29"/>
              </w:numPr>
              <w:ind w:firstLineChars="0"/>
              <w:rPr>
                <w:rFonts w:ascii="宋体" w:hAnsi="宋体"/>
                <w:szCs w:val="21"/>
              </w:rPr>
            </w:pPr>
            <w:r>
              <w:rPr>
                <w:rFonts w:hint="eastAsia" w:ascii="宋体" w:hAnsi="宋体"/>
                <w:szCs w:val="21"/>
              </w:rPr>
              <w:t>科室信息：医院科室信息</w:t>
            </w:r>
          </w:p>
          <w:p w14:paraId="39BAA660">
            <w:pPr>
              <w:pStyle w:val="12"/>
              <w:numPr>
                <w:ilvl w:val="0"/>
                <w:numId w:val="29"/>
              </w:numPr>
              <w:ind w:firstLineChars="0"/>
              <w:rPr>
                <w:rFonts w:ascii="宋体" w:hAnsi="宋体"/>
                <w:szCs w:val="21"/>
              </w:rPr>
            </w:pPr>
            <w:r>
              <w:rPr>
                <w:rFonts w:hint="eastAsia" w:ascii="宋体" w:hAnsi="宋体"/>
                <w:szCs w:val="21"/>
              </w:rPr>
              <w:t>职工信息：医生和护士等人员信息</w:t>
            </w:r>
          </w:p>
          <w:p w14:paraId="488D8DC9">
            <w:pPr>
              <w:pStyle w:val="12"/>
              <w:numPr>
                <w:ilvl w:val="0"/>
                <w:numId w:val="29"/>
              </w:numPr>
              <w:ind w:firstLineChars="0"/>
              <w:rPr>
                <w:rFonts w:ascii="宋体" w:hAnsi="宋体"/>
                <w:szCs w:val="21"/>
              </w:rPr>
            </w:pPr>
            <w:r>
              <w:rPr>
                <w:rFonts w:hint="eastAsia" w:ascii="宋体" w:hAnsi="宋体"/>
                <w:szCs w:val="21"/>
              </w:rPr>
              <w:t>用户信息：用户账号信息</w:t>
            </w:r>
          </w:p>
          <w:p w14:paraId="79853AD9">
            <w:pPr>
              <w:pStyle w:val="12"/>
              <w:numPr>
                <w:ilvl w:val="0"/>
                <w:numId w:val="29"/>
              </w:numPr>
              <w:ind w:firstLineChars="0"/>
              <w:rPr>
                <w:rFonts w:ascii="宋体" w:hAnsi="宋体"/>
                <w:szCs w:val="21"/>
              </w:rPr>
            </w:pPr>
            <w:r>
              <w:rPr>
                <w:rFonts w:hint="eastAsia" w:ascii="宋体" w:hAnsi="宋体"/>
                <w:szCs w:val="21"/>
              </w:rPr>
              <w:t>基本信息：门诊与住院患者基本信息。</w:t>
            </w:r>
          </w:p>
          <w:p w14:paraId="072F8714">
            <w:pPr>
              <w:pStyle w:val="12"/>
              <w:numPr>
                <w:ilvl w:val="0"/>
                <w:numId w:val="29"/>
              </w:numPr>
              <w:ind w:firstLineChars="0"/>
              <w:rPr>
                <w:rFonts w:ascii="宋体" w:hAnsi="宋体"/>
                <w:szCs w:val="21"/>
              </w:rPr>
            </w:pPr>
            <w:r>
              <w:rPr>
                <w:rFonts w:hint="eastAsia" w:ascii="宋体" w:hAnsi="宋体"/>
                <w:szCs w:val="21"/>
              </w:rPr>
              <w:t>诊断信息：门诊患者与住院患者的入院诊断、出院诊断信息</w:t>
            </w:r>
          </w:p>
          <w:p w14:paraId="455DC1A3">
            <w:pPr>
              <w:pStyle w:val="12"/>
              <w:numPr>
                <w:ilvl w:val="0"/>
                <w:numId w:val="29"/>
              </w:numPr>
              <w:ind w:firstLineChars="0"/>
              <w:rPr>
                <w:rFonts w:ascii="宋体" w:hAnsi="宋体"/>
                <w:szCs w:val="21"/>
              </w:rPr>
            </w:pPr>
            <w:r>
              <w:rPr>
                <w:rFonts w:hint="eastAsia" w:ascii="宋体" w:hAnsi="宋体"/>
                <w:szCs w:val="21"/>
              </w:rPr>
              <w:t>检验结果：门诊患者与住院检验项目的申请与结果信息及微生物送检与培养信息</w:t>
            </w:r>
          </w:p>
          <w:p w14:paraId="38DA6CF9">
            <w:pPr>
              <w:pStyle w:val="12"/>
              <w:numPr>
                <w:ilvl w:val="0"/>
                <w:numId w:val="29"/>
              </w:numPr>
              <w:ind w:firstLineChars="0"/>
              <w:rPr>
                <w:rFonts w:ascii="宋体" w:hAnsi="宋体"/>
                <w:szCs w:val="21"/>
              </w:rPr>
            </w:pPr>
            <w:r>
              <w:rPr>
                <w:rFonts w:hint="eastAsia" w:ascii="宋体" w:hAnsi="宋体"/>
                <w:szCs w:val="21"/>
              </w:rPr>
              <w:t>检查结果：门诊患者与住院的检查申请与结果信息</w:t>
            </w:r>
          </w:p>
          <w:p w14:paraId="2E934F5F">
            <w:pPr>
              <w:pStyle w:val="12"/>
              <w:numPr>
                <w:ilvl w:val="0"/>
                <w:numId w:val="29"/>
              </w:numPr>
              <w:ind w:firstLineChars="0"/>
              <w:rPr>
                <w:rFonts w:ascii="宋体" w:hAnsi="宋体"/>
                <w:szCs w:val="21"/>
              </w:rPr>
            </w:pPr>
            <w:r>
              <w:rPr>
                <w:rFonts w:hint="eastAsia" w:ascii="宋体" w:hAnsi="宋体"/>
                <w:szCs w:val="21"/>
              </w:rPr>
              <w:t>出入院信息：住院病人的在院与出院等信息</w:t>
            </w:r>
          </w:p>
          <w:p w14:paraId="6458AADA">
            <w:pPr>
              <w:pStyle w:val="12"/>
              <w:numPr>
                <w:ilvl w:val="0"/>
                <w:numId w:val="29"/>
              </w:numPr>
              <w:ind w:firstLineChars="0"/>
              <w:rPr>
                <w:rFonts w:ascii="宋体" w:hAnsi="宋体"/>
                <w:szCs w:val="21"/>
              </w:rPr>
            </w:pPr>
            <w:r>
              <w:rPr>
                <w:rFonts w:hint="eastAsia" w:ascii="宋体" w:hAnsi="宋体"/>
                <w:szCs w:val="21"/>
              </w:rPr>
              <w:t>医嘱信息：住院患者的长期与临时医嘱信息</w:t>
            </w:r>
          </w:p>
          <w:p w14:paraId="389F6801">
            <w:pPr>
              <w:pStyle w:val="12"/>
              <w:numPr>
                <w:ilvl w:val="0"/>
                <w:numId w:val="29"/>
              </w:numPr>
              <w:ind w:firstLineChars="0"/>
              <w:rPr>
                <w:rFonts w:ascii="宋体" w:hAnsi="宋体"/>
                <w:szCs w:val="21"/>
              </w:rPr>
            </w:pPr>
            <w:r>
              <w:rPr>
                <w:rFonts w:hint="eastAsia" w:ascii="宋体" w:hAnsi="宋体"/>
                <w:szCs w:val="21"/>
              </w:rPr>
              <w:t>电子病历：住院患者的电子病例病程信息</w:t>
            </w:r>
          </w:p>
          <w:p w14:paraId="5665BD09">
            <w:pPr>
              <w:pStyle w:val="12"/>
              <w:numPr>
                <w:ilvl w:val="0"/>
                <w:numId w:val="29"/>
              </w:numPr>
              <w:ind w:firstLineChars="0"/>
            </w:pPr>
            <w:r>
              <w:rPr>
                <w:rFonts w:hint="eastAsia" w:ascii="宋体" w:hAnsi="宋体"/>
                <w:szCs w:val="21"/>
              </w:rPr>
              <w:t>接口核查：支持</w:t>
            </w:r>
            <w:r>
              <w:rPr>
                <w:rFonts w:hint="eastAsia" w:ascii="Arial" w:hAnsi="Arial"/>
              </w:rPr>
              <w:t>对接口数据进行核查，并显示核分析结果</w:t>
            </w:r>
          </w:p>
        </w:tc>
      </w:tr>
      <w:tr w14:paraId="59E7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045D7FFF">
            <w:pPr>
              <w:jc w:val="center"/>
            </w:pPr>
            <w:r>
              <w:rPr>
                <w:rFonts w:hint="eastAsia"/>
              </w:rPr>
              <w:t>3</w:t>
            </w:r>
          </w:p>
        </w:tc>
        <w:tc>
          <w:tcPr>
            <w:tcW w:w="2258" w:type="dxa"/>
            <w:vAlign w:val="center"/>
          </w:tcPr>
          <w:p w14:paraId="12041668">
            <w:pPr>
              <w:jc w:val="center"/>
            </w:pPr>
            <w:r>
              <w:rPr>
                <w:rFonts w:hint="eastAsia"/>
              </w:rPr>
              <w:t>病例预警</w:t>
            </w:r>
          </w:p>
        </w:tc>
        <w:tc>
          <w:tcPr>
            <w:tcW w:w="6228" w:type="dxa"/>
          </w:tcPr>
          <w:p w14:paraId="41DC532C">
            <w:pPr>
              <w:pStyle w:val="12"/>
              <w:numPr>
                <w:ilvl w:val="0"/>
                <w:numId w:val="30"/>
              </w:numPr>
              <w:ind w:firstLineChars="0"/>
              <w:rPr>
                <w:rFonts w:ascii="宋体" w:hAnsi="宋体"/>
                <w:szCs w:val="21"/>
              </w:rPr>
            </w:pPr>
            <w:r>
              <w:rPr>
                <w:rFonts w:hint="eastAsia" w:ascii="宋体" w:hAnsi="宋体"/>
                <w:szCs w:val="21"/>
              </w:rPr>
              <w:t>采用ETL技术进行多维度数据采集，清洗，标准化，确保分析的数据全面，包括HIS、LIS、PACS、EMR、病案管理、护理系统等</w:t>
            </w:r>
          </w:p>
          <w:p w14:paraId="3C6F8C16">
            <w:pPr>
              <w:pStyle w:val="12"/>
              <w:numPr>
                <w:ilvl w:val="0"/>
                <w:numId w:val="30"/>
              </w:numPr>
              <w:ind w:firstLineChars="0"/>
              <w:rPr>
                <w:rFonts w:ascii="宋体" w:hAnsi="宋体"/>
                <w:szCs w:val="21"/>
              </w:rPr>
            </w:pPr>
            <w:r>
              <w:rPr>
                <w:rFonts w:hint="eastAsia" w:ascii="宋体" w:hAnsi="宋体"/>
                <w:szCs w:val="21"/>
              </w:rPr>
              <w:t>采用自然语言分析处理技术，既支持结构化的信息（检验、诊断、用药、体温等）处理，也支持非结构化（病程信息、检查报告等）的信息处理，分析患者多维度的诊疗数据,避免因数据分析不全造成疑似病例漏掉</w:t>
            </w:r>
          </w:p>
          <w:p w14:paraId="1E5DFE50">
            <w:pPr>
              <w:pStyle w:val="12"/>
              <w:numPr>
                <w:ilvl w:val="0"/>
                <w:numId w:val="30"/>
              </w:numPr>
              <w:ind w:firstLineChars="0"/>
              <w:rPr>
                <w:rFonts w:ascii="宋体" w:hAnsi="宋体"/>
                <w:color w:val="auto"/>
                <w:szCs w:val="21"/>
              </w:rPr>
            </w:pPr>
            <w:r>
              <w:rPr>
                <w:rFonts w:hint="eastAsia" w:ascii="宋体" w:hAnsi="宋体"/>
                <w:color w:val="auto"/>
                <w:szCs w:val="21"/>
              </w:rPr>
              <w:t>自带丰富的预警模型：提供基于国家诊断标准的疾病诊断知识库预警模型，通过不同权重组合相加综合预警，权重的设置支持自定义。预警的疾病除了法定传染病之外，还涵盖了其他50多种非法定传染病、慢性非传染病疾病、食源性疾病等（肿瘤病例、伤害病例预警）</w:t>
            </w:r>
          </w:p>
          <w:p w14:paraId="16F20022">
            <w:pPr>
              <w:pStyle w:val="12"/>
              <w:numPr>
                <w:ilvl w:val="0"/>
                <w:numId w:val="30"/>
              </w:numPr>
              <w:ind w:firstLineChars="0"/>
              <w:rPr>
                <w:rFonts w:ascii="宋体" w:hAnsi="宋体"/>
                <w:szCs w:val="21"/>
              </w:rPr>
            </w:pPr>
            <w:r>
              <w:rPr>
                <w:rFonts w:hint="eastAsia" w:ascii="宋体" w:hAnsi="宋体"/>
                <w:szCs w:val="21"/>
              </w:rPr>
              <w:t>模型自动迭代：采用机器自主学习技术，通过分析大量的数据病例自动对预警模型进行调整，形成一套适应本地化的预警模型</w:t>
            </w:r>
          </w:p>
          <w:p w14:paraId="5CFBCD40">
            <w:pPr>
              <w:pStyle w:val="12"/>
              <w:numPr>
                <w:ilvl w:val="0"/>
                <w:numId w:val="30"/>
              </w:numPr>
              <w:ind w:firstLineChars="0"/>
              <w:rPr>
                <w:rFonts w:ascii="宋体" w:hAnsi="宋体"/>
                <w:szCs w:val="21"/>
              </w:rPr>
            </w:pPr>
            <w:r>
              <w:rPr>
                <w:rFonts w:hint="eastAsia" w:ascii="宋体" w:hAnsi="宋体"/>
                <w:szCs w:val="21"/>
              </w:rPr>
              <w:t>支持自定义预警模型</w:t>
            </w:r>
          </w:p>
          <w:p w14:paraId="42FDF33B">
            <w:pPr>
              <w:pStyle w:val="12"/>
              <w:numPr>
                <w:ilvl w:val="0"/>
                <w:numId w:val="30"/>
              </w:numPr>
              <w:ind w:firstLineChars="0"/>
              <w:rPr>
                <w:rFonts w:ascii="宋体" w:hAnsi="宋体"/>
                <w:szCs w:val="21"/>
              </w:rPr>
            </w:pPr>
            <w:r>
              <w:rPr>
                <w:rFonts w:hint="eastAsia" w:ascii="宋体" w:hAnsi="宋体"/>
                <w:szCs w:val="21"/>
              </w:rPr>
              <w:t>支持准确处理句号、感叹号、问号、换行等断句符号，对语句断句、段落等准确识别</w:t>
            </w:r>
          </w:p>
          <w:p w14:paraId="2368F640">
            <w:pPr>
              <w:pStyle w:val="12"/>
              <w:numPr>
                <w:ilvl w:val="0"/>
                <w:numId w:val="30"/>
              </w:numPr>
              <w:ind w:firstLineChars="0"/>
              <w:rPr>
                <w:rFonts w:ascii="宋体" w:hAnsi="宋体"/>
                <w:szCs w:val="21"/>
              </w:rPr>
            </w:pPr>
            <w:r>
              <w:rPr>
                <w:rFonts w:hint="eastAsia" w:ascii="宋体" w:hAnsi="宋体"/>
                <w:szCs w:val="21"/>
              </w:rPr>
              <w:t>支持通过维护否定词的方式辅助预警分析，智能排除正常数据，提高预警准确性</w:t>
            </w:r>
          </w:p>
          <w:p w14:paraId="0CBBCA99">
            <w:pPr>
              <w:pStyle w:val="12"/>
              <w:numPr>
                <w:ilvl w:val="0"/>
                <w:numId w:val="30"/>
              </w:numPr>
              <w:ind w:firstLineChars="0"/>
              <w:rPr>
                <w:rFonts w:ascii="宋体" w:hAnsi="宋体"/>
                <w:szCs w:val="21"/>
              </w:rPr>
            </w:pPr>
            <w:r>
              <w:rPr>
                <w:rFonts w:hint="eastAsia" w:ascii="宋体" w:hAnsi="宋体"/>
                <w:szCs w:val="21"/>
              </w:rPr>
              <w:t>支持树状结构展示预警数据：支持按科室分类和疾病分类查看预警数据，且按不同的处理状态进行分类展示</w:t>
            </w:r>
          </w:p>
          <w:p w14:paraId="1B57FECA">
            <w:pPr>
              <w:pStyle w:val="12"/>
              <w:numPr>
                <w:ilvl w:val="0"/>
                <w:numId w:val="30"/>
              </w:numPr>
              <w:ind w:firstLineChars="0"/>
              <w:rPr>
                <w:rFonts w:ascii="宋体" w:hAnsi="宋体"/>
                <w:szCs w:val="21"/>
              </w:rPr>
            </w:pPr>
            <w:r>
              <w:rPr>
                <w:rFonts w:hint="eastAsia" w:ascii="宋体" w:hAnsi="宋体"/>
                <w:szCs w:val="21"/>
              </w:rPr>
              <w:t>支持通过维护关键词的方式进行匹配预警，以满足不同医院的使用需求，包括诊断、病程、检验、影像等都支持关键词模式</w:t>
            </w:r>
          </w:p>
          <w:p w14:paraId="19D64F7F">
            <w:pPr>
              <w:pStyle w:val="12"/>
              <w:numPr>
                <w:ilvl w:val="0"/>
                <w:numId w:val="30"/>
              </w:numPr>
              <w:ind w:firstLineChars="0"/>
              <w:rPr>
                <w:rFonts w:ascii="宋体" w:hAnsi="宋体"/>
                <w:szCs w:val="21"/>
              </w:rPr>
            </w:pPr>
            <w:r>
              <w:rPr>
                <w:rFonts w:hint="eastAsia" w:ascii="宋体" w:hAnsi="宋体"/>
                <w:szCs w:val="21"/>
              </w:rPr>
              <w:t>预警模型支持设置适用年龄或者年龄区间</w:t>
            </w:r>
          </w:p>
          <w:p w14:paraId="4DB472E2">
            <w:pPr>
              <w:pStyle w:val="12"/>
              <w:numPr>
                <w:ilvl w:val="0"/>
                <w:numId w:val="30"/>
              </w:numPr>
              <w:ind w:firstLineChars="0"/>
              <w:rPr>
                <w:rFonts w:ascii="宋体" w:hAnsi="宋体"/>
                <w:szCs w:val="21"/>
              </w:rPr>
            </w:pPr>
            <w:r>
              <w:rPr>
                <w:rFonts w:hint="eastAsia" w:ascii="宋体" w:hAnsi="宋体"/>
                <w:szCs w:val="21"/>
              </w:rPr>
              <w:t>支持根据患者现住址或户籍地址或两者结合进行预警，在达到预警条件的基础上，对患者户籍或者地址进行自动匹配，满足户籍或者现住址的患者则预警</w:t>
            </w:r>
          </w:p>
          <w:p w14:paraId="1EA82756">
            <w:pPr>
              <w:pStyle w:val="12"/>
              <w:numPr>
                <w:ilvl w:val="0"/>
                <w:numId w:val="30"/>
              </w:numPr>
              <w:ind w:firstLineChars="0"/>
              <w:rPr>
                <w:rFonts w:ascii="宋体" w:hAnsi="宋体"/>
                <w:szCs w:val="21"/>
              </w:rPr>
            </w:pPr>
            <w:r>
              <w:rPr>
                <w:rFonts w:hint="eastAsia" w:ascii="宋体" w:hAnsi="宋体"/>
                <w:szCs w:val="21"/>
              </w:rPr>
              <w:t>支持科室集成后以列表的方式查看预警数据</w:t>
            </w:r>
          </w:p>
          <w:p w14:paraId="33F9E2EA">
            <w:pPr>
              <w:pStyle w:val="12"/>
              <w:numPr>
                <w:ilvl w:val="0"/>
                <w:numId w:val="30"/>
              </w:numPr>
              <w:ind w:firstLineChars="0"/>
              <w:rPr>
                <w:rFonts w:ascii="宋体" w:hAnsi="宋体"/>
                <w:szCs w:val="21"/>
              </w:rPr>
            </w:pPr>
            <w:r>
              <w:rPr>
                <w:rFonts w:hint="eastAsia" w:ascii="宋体" w:hAnsi="宋体"/>
                <w:szCs w:val="21"/>
              </w:rPr>
              <w:t>支持多种条件查询预警数据，包括院区、患者类别、日期类型(预警日期、分析日期、首次分析日期、干预时间)、预警疾病、预警类型、患者姓名、门诊号、住院号等</w:t>
            </w:r>
          </w:p>
          <w:p w14:paraId="1482E83A">
            <w:pPr>
              <w:pStyle w:val="12"/>
              <w:numPr>
                <w:ilvl w:val="0"/>
                <w:numId w:val="30"/>
              </w:numPr>
              <w:ind w:firstLineChars="0"/>
              <w:rPr>
                <w:rFonts w:ascii="宋体" w:hAnsi="宋体"/>
                <w:szCs w:val="21"/>
              </w:rPr>
            </w:pPr>
            <w:r>
              <w:rPr>
                <w:rFonts w:hint="eastAsia" w:ascii="宋体" w:hAnsi="宋体"/>
                <w:szCs w:val="21"/>
              </w:rPr>
              <w:t>支持查询预警数据时可以快速查看对应的预警模型</w:t>
            </w:r>
          </w:p>
          <w:p w14:paraId="7D13BBE7">
            <w:pPr>
              <w:pStyle w:val="12"/>
              <w:numPr>
                <w:ilvl w:val="0"/>
                <w:numId w:val="30"/>
              </w:numPr>
              <w:ind w:firstLineChars="0"/>
              <w:rPr>
                <w:rFonts w:ascii="宋体" w:hAnsi="宋体"/>
                <w:szCs w:val="21"/>
              </w:rPr>
            </w:pPr>
            <w:r>
              <w:rPr>
                <w:rFonts w:hint="eastAsia" w:ascii="宋体" w:hAnsi="宋体"/>
                <w:szCs w:val="21"/>
              </w:rPr>
              <w:t>支持预警依据一键穿透到患者档案，查看患者在院的所有诊疗数据</w:t>
            </w:r>
          </w:p>
          <w:p w14:paraId="791C8E04">
            <w:pPr>
              <w:pStyle w:val="12"/>
              <w:numPr>
                <w:ilvl w:val="0"/>
                <w:numId w:val="30"/>
              </w:numPr>
              <w:ind w:firstLineChars="0"/>
              <w:rPr>
                <w:rFonts w:ascii="宋体" w:hAnsi="宋体"/>
                <w:szCs w:val="21"/>
              </w:rPr>
            </w:pPr>
            <w:r>
              <w:rPr>
                <w:rFonts w:hint="eastAsia" w:ascii="宋体" w:hAnsi="宋体"/>
                <w:szCs w:val="21"/>
              </w:rPr>
              <w:t>预警查询页面支持查看患者历史报卡数据，且可查看报卡详情</w:t>
            </w:r>
          </w:p>
          <w:p w14:paraId="57812E75">
            <w:pPr>
              <w:pStyle w:val="12"/>
              <w:numPr>
                <w:ilvl w:val="0"/>
                <w:numId w:val="30"/>
              </w:numPr>
              <w:ind w:firstLineChars="0"/>
              <w:rPr>
                <w:rFonts w:ascii="宋体" w:hAnsi="宋体"/>
                <w:szCs w:val="21"/>
              </w:rPr>
            </w:pPr>
            <w:r>
              <w:rPr>
                <w:rFonts w:hint="eastAsia"/>
              </w:rPr>
              <w:t>预警病例配置倒计时：根据</w:t>
            </w:r>
            <w:r>
              <w:t>预警出的疑似病例推送到临床的时间，结合</w:t>
            </w:r>
            <w:r>
              <w:rPr>
                <w:rFonts w:hint="eastAsia"/>
              </w:rPr>
              <w:t>法定</w:t>
            </w:r>
            <w:r>
              <w:t>的上报时限</w:t>
            </w:r>
            <w:r>
              <w:rPr>
                <w:rFonts w:hint="eastAsia"/>
              </w:rPr>
              <w:t>，以</w:t>
            </w:r>
            <w:r>
              <w:t>倒计时的方式</w:t>
            </w:r>
            <w:r>
              <w:rPr>
                <w:rFonts w:hint="eastAsia"/>
              </w:rPr>
              <w:t>提醒医生处理</w:t>
            </w:r>
          </w:p>
          <w:p w14:paraId="11E013DA">
            <w:pPr>
              <w:pStyle w:val="12"/>
              <w:numPr>
                <w:ilvl w:val="0"/>
                <w:numId w:val="30"/>
              </w:numPr>
              <w:ind w:firstLineChars="0"/>
              <w:rPr>
                <w:rFonts w:ascii="宋体" w:hAnsi="宋体"/>
                <w:szCs w:val="21"/>
              </w:rPr>
            </w:pPr>
            <w:r>
              <w:rPr>
                <w:rFonts w:hint="eastAsia" w:ascii="宋体" w:hAnsi="宋体"/>
                <w:szCs w:val="21"/>
              </w:rPr>
              <w:t>支持对预警数据进行排序，可按预警时间、床号等进行排序</w:t>
            </w:r>
          </w:p>
          <w:p w14:paraId="5C664166">
            <w:pPr>
              <w:pStyle w:val="12"/>
              <w:numPr>
                <w:ilvl w:val="0"/>
                <w:numId w:val="30"/>
              </w:numPr>
              <w:ind w:firstLineChars="0"/>
              <w:rPr>
                <w:rFonts w:ascii="宋体" w:hAnsi="宋体"/>
                <w:szCs w:val="21"/>
              </w:rPr>
            </w:pPr>
            <w:r>
              <w:rPr>
                <w:rFonts w:hint="eastAsia" w:ascii="宋体" w:hAnsi="宋体"/>
                <w:szCs w:val="21"/>
              </w:rPr>
              <w:t>支持预警数据生成后自动推送干预消息给临床医生</w:t>
            </w:r>
          </w:p>
        </w:tc>
      </w:tr>
      <w:tr w14:paraId="7542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D37A928">
            <w:pPr>
              <w:jc w:val="center"/>
            </w:pPr>
            <w:r>
              <w:rPr>
                <w:rFonts w:hint="eastAsia"/>
              </w:rPr>
              <w:t>4</w:t>
            </w:r>
          </w:p>
        </w:tc>
        <w:tc>
          <w:tcPr>
            <w:tcW w:w="2258" w:type="dxa"/>
            <w:vAlign w:val="center"/>
          </w:tcPr>
          <w:p w14:paraId="4B611C67">
            <w:pPr>
              <w:jc w:val="center"/>
            </w:pPr>
            <w:r>
              <w:rPr>
                <w:rFonts w:hint="eastAsia"/>
              </w:rPr>
              <w:t>历史报卡自动识别</w:t>
            </w:r>
          </w:p>
        </w:tc>
        <w:tc>
          <w:tcPr>
            <w:tcW w:w="6228" w:type="dxa"/>
          </w:tcPr>
          <w:p w14:paraId="678B7016">
            <w:pPr>
              <w:numPr>
                <w:ilvl w:val="0"/>
                <w:numId w:val="31"/>
              </w:numPr>
              <w:rPr>
                <w:rFonts w:ascii="宋体" w:hAnsi="宋体"/>
                <w:szCs w:val="21"/>
              </w:rPr>
            </w:pPr>
            <w:r>
              <w:rPr>
                <w:rFonts w:hint="eastAsia" w:ascii="宋体" w:hAnsi="宋体"/>
                <w:szCs w:val="21"/>
              </w:rPr>
              <w:t xml:space="preserve"> 支持根据住院号/门诊号、身份证号、姓名、性别、出生日期等信息，识别院内唯一患者</w:t>
            </w:r>
          </w:p>
          <w:p w14:paraId="6B57DF92">
            <w:pPr>
              <w:numPr>
                <w:ilvl w:val="0"/>
                <w:numId w:val="31"/>
              </w:numPr>
              <w:rPr>
                <w:rFonts w:ascii="宋体" w:hAnsi="宋体"/>
                <w:szCs w:val="21"/>
              </w:rPr>
            </w:pPr>
            <w:r>
              <w:rPr>
                <w:rFonts w:hint="eastAsia" w:ascii="宋体" w:hAnsi="宋体"/>
                <w:szCs w:val="21"/>
              </w:rPr>
              <w:t xml:space="preserve"> 对于院内同一患者历史报卡进行重卡校验，满足重卡的报卡不再进行预警或者医生报卡提醒</w:t>
            </w:r>
          </w:p>
          <w:p w14:paraId="2528CD3E">
            <w:pPr>
              <w:pStyle w:val="12"/>
              <w:numPr>
                <w:ilvl w:val="0"/>
                <w:numId w:val="31"/>
              </w:numPr>
              <w:ind w:firstLine="0" w:firstLineChars="0"/>
              <w:rPr>
                <w:rFonts w:ascii="宋体" w:hAnsi="宋体"/>
                <w:szCs w:val="21"/>
              </w:rPr>
            </w:pPr>
            <w:r>
              <w:rPr>
                <w:rFonts w:hint="eastAsia" w:ascii="宋体" w:hAnsi="宋体"/>
                <w:szCs w:val="21"/>
              </w:rPr>
              <w:t xml:space="preserve"> 对于重卡周期内的患者，不再重复预警</w:t>
            </w:r>
          </w:p>
          <w:p w14:paraId="295677E6">
            <w:pPr>
              <w:pStyle w:val="12"/>
              <w:numPr>
                <w:ilvl w:val="0"/>
                <w:numId w:val="31"/>
              </w:numPr>
              <w:ind w:firstLine="0" w:firstLineChars="0"/>
              <w:rPr>
                <w:rFonts w:ascii="宋体" w:hAnsi="宋体"/>
                <w:szCs w:val="21"/>
              </w:rPr>
            </w:pPr>
            <w:r>
              <w:rPr>
                <w:rFonts w:hint="eastAsia" w:ascii="宋体" w:hAnsi="宋体"/>
                <w:szCs w:val="21"/>
              </w:rPr>
              <w:t xml:space="preserve"> 支持根据不同疾病自定义设置重卡周期</w:t>
            </w:r>
          </w:p>
        </w:tc>
      </w:tr>
      <w:tr w14:paraId="56DD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14DFF291">
            <w:pPr>
              <w:jc w:val="center"/>
            </w:pPr>
            <w:r>
              <w:rPr>
                <w:rFonts w:hint="eastAsia"/>
              </w:rPr>
              <w:t>5</w:t>
            </w:r>
          </w:p>
        </w:tc>
        <w:tc>
          <w:tcPr>
            <w:tcW w:w="2258" w:type="dxa"/>
            <w:vAlign w:val="center"/>
          </w:tcPr>
          <w:p w14:paraId="6E69511B">
            <w:pPr>
              <w:jc w:val="center"/>
            </w:pPr>
            <w:r>
              <w:rPr>
                <w:rFonts w:hint="eastAsia"/>
              </w:rPr>
              <w:t>聚集性事件预警</w:t>
            </w:r>
          </w:p>
        </w:tc>
        <w:tc>
          <w:tcPr>
            <w:tcW w:w="6228" w:type="dxa"/>
          </w:tcPr>
          <w:p w14:paraId="59596DFF">
            <w:pPr>
              <w:pStyle w:val="12"/>
              <w:ind w:firstLine="0" w:firstLineChars="0"/>
              <w:rPr>
                <w:rFonts w:ascii="宋体" w:hAnsi="宋体"/>
                <w:szCs w:val="21"/>
              </w:rPr>
            </w:pPr>
            <w:r>
              <w:rPr>
                <w:rFonts w:hint="eastAsia" w:ascii="宋体" w:hAnsi="宋体"/>
                <w:szCs w:val="21"/>
              </w:rPr>
              <w:t>支持对聚集性事件预警，对可能出现的突发疫情事件做到早发现早干预。按同一单位、地址统计的同一种传染病短期内增多的情况预警。可自行配置预警的时间周期、病例数。</w:t>
            </w:r>
          </w:p>
        </w:tc>
      </w:tr>
      <w:tr w14:paraId="0F1D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1139F94E">
            <w:pPr>
              <w:jc w:val="center"/>
            </w:pPr>
            <w:r>
              <w:rPr>
                <w:rFonts w:hint="eastAsia"/>
              </w:rPr>
              <w:t>6</w:t>
            </w:r>
          </w:p>
        </w:tc>
        <w:tc>
          <w:tcPr>
            <w:tcW w:w="2258" w:type="dxa"/>
            <w:vAlign w:val="center"/>
          </w:tcPr>
          <w:p w14:paraId="781DE2D9">
            <w:pPr>
              <w:pStyle w:val="12"/>
              <w:ind w:firstLine="0" w:firstLineChars="0"/>
              <w:jc w:val="center"/>
              <w:rPr>
                <w:rFonts w:ascii="宋体" w:hAnsi="宋体"/>
                <w:szCs w:val="21"/>
              </w:rPr>
            </w:pPr>
            <w:r>
              <w:rPr>
                <w:rFonts w:hint="eastAsia" w:ascii="宋体" w:hAnsi="宋体"/>
                <w:szCs w:val="21"/>
              </w:rPr>
              <w:t>未报卡预警</w:t>
            </w:r>
          </w:p>
        </w:tc>
        <w:tc>
          <w:tcPr>
            <w:tcW w:w="6228" w:type="dxa"/>
          </w:tcPr>
          <w:p w14:paraId="2D94A3E8">
            <w:pPr>
              <w:pStyle w:val="12"/>
              <w:numPr>
                <w:ilvl w:val="0"/>
                <w:numId w:val="32"/>
              </w:numPr>
              <w:ind w:firstLineChars="0"/>
              <w:rPr>
                <w:rFonts w:ascii="宋体" w:hAnsi="宋体"/>
                <w:szCs w:val="21"/>
              </w:rPr>
            </w:pPr>
            <w:r>
              <w:rPr>
                <w:rFonts w:hint="eastAsia" w:ascii="宋体" w:hAnsi="宋体"/>
                <w:szCs w:val="21"/>
              </w:rPr>
              <w:t>系统在HIS嵌入插件，监测到检测/诊断关键词，触发强制报卡，医生如果选择暂不上报，系统则会将报卡自动记录在未报卡列表，提醒医生及时上报</w:t>
            </w:r>
          </w:p>
          <w:p w14:paraId="3A60C589">
            <w:pPr>
              <w:pStyle w:val="12"/>
              <w:numPr>
                <w:ilvl w:val="0"/>
                <w:numId w:val="32"/>
              </w:numPr>
              <w:ind w:firstLineChars="0"/>
              <w:rPr>
                <w:rFonts w:ascii="宋体" w:hAnsi="宋体"/>
                <w:szCs w:val="21"/>
              </w:rPr>
            </w:pPr>
            <w:r>
              <w:rPr>
                <w:rFonts w:hint="eastAsia" w:ascii="宋体" w:hAnsi="宋体"/>
                <w:szCs w:val="21"/>
              </w:rPr>
              <w:t>支持按院区、科室、疾病类型、患者类别、上报状态、来源等信息检索患者</w:t>
            </w:r>
          </w:p>
          <w:p w14:paraId="2D86F2D6">
            <w:pPr>
              <w:pStyle w:val="12"/>
              <w:numPr>
                <w:ilvl w:val="0"/>
                <w:numId w:val="32"/>
              </w:numPr>
              <w:ind w:firstLineChars="0"/>
              <w:rPr>
                <w:rFonts w:ascii="宋体" w:hAnsi="宋体"/>
                <w:szCs w:val="21"/>
              </w:rPr>
            </w:pPr>
            <w:r>
              <w:rPr>
                <w:rFonts w:hint="eastAsia" w:ascii="宋体" w:hAnsi="宋体"/>
                <w:szCs w:val="21"/>
              </w:rPr>
              <w:t>可进行干预会话、报卡和排除操作</w:t>
            </w:r>
          </w:p>
          <w:p w14:paraId="2D1EBBF5">
            <w:pPr>
              <w:pStyle w:val="12"/>
              <w:numPr>
                <w:ilvl w:val="0"/>
                <w:numId w:val="32"/>
              </w:numPr>
              <w:ind w:firstLineChars="0"/>
              <w:rPr>
                <w:rFonts w:ascii="宋体" w:hAnsi="宋体"/>
                <w:szCs w:val="21"/>
              </w:rPr>
            </w:pPr>
            <w:r>
              <w:rPr>
                <w:rFonts w:hint="eastAsia" w:ascii="宋体" w:hAnsi="宋体"/>
                <w:szCs w:val="21"/>
              </w:rPr>
              <w:t>支持以倒计时方式显示剩余上报时间，且用颜色标记</w:t>
            </w:r>
          </w:p>
        </w:tc>
      </w:tr>
      <w:tr w14:paraId="3F79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77D2C941">
            <w:pPr>
              <w:jc w:val="center"/>
            </w:pPr>
            <w:r>
              <w:rPr>
                <w:rFonts w:hint="eastAsia"/>
              </w:rPr>
              <w:t>7</w:t>
            </w:r>
          </w:p>
        </w:tc>
        <w:tc>
          <w:tcPr>
            <w:tcW w:w="2258" w:type="dxa"/>
            <w:vAlign w:val="center"/>
          </w:tcPr>
          <w:p w14:paraId="6C7FAA29">
            <w:pPr>
              <w:jc w:val="center"/>
            </w:pPr>
            <w:r>
              <w:rPr>
                <w:rFonts w:hint="eastAsia"/>
              </w:rPr>
              <w:t>报告卡管理</w:t>
            </w:r>
          </w:p>
        </w:tc>
        <w:tc>
          <w:tcPr>
            <w:tcW w:w="6228" w:type="dxa"/>
          </w:tcPr>
          <w:p w14:paraId="78AFE84B">
            <w:pPr>
              <w:pStyle w:val="12"/>
              <w:numPr>
                <w:ilvl w:val="0"/>
                <w:numId w:val="33"/>
              </w:numPr>
              <w:ind w:firstLineChars="0"/>
            </w:pPr>
            <w:r>
              <w:rPr>
                <w:rFonts w:hint="eastAsia"/>
              </w:rPr>
              <w:t>报卡填写:支持患者基本信息全自动关联，患者住址支持小区自动检索带出所在省市县乡镇街道，且根据国家规范自动进行数据逻辑验证、正确性验证、必填项验证</w:t>
            </w:r>
          </w:p>
          <w:p w14:paraId="0F6F79C3">
            <w:pPr>
              <w:pStyle w:val="12"/>
              <w:numPr>
                <w:ilvl w:val="0"/>
                <w:numId w:val="33"/>
              </w:numPr>
              <w:ind w:firstLineChars="0"/>
            </w:pPr>
            <w:r>
              <w:rPr>
                <w:rFonts w:hint="eastAsia"/>
              </w:rPr>
              <w:t>选择上报疾病后如果需填写附卡或者流调表，附卡和流调表支持随主卡自动带出，且支持各种必填项等数据校验</w:t>
            </w:r>
          </w:p>
          <w:p w14:paraId="429EF2B3">
            <w:pPr>
              <w:pStyle w:val="12"/>
              <w:numPr>
                <w:ilvl w:val="0"/>
                <w:numId w:val="33"/>
              </w:numPr>
              <w:ind w:firstLineChars="0"/>
            </w:pPr>
            <w:r>
              <w:rPr>
                <w:rFonts w:hint="eastAsia"/>
              </w:rPr>
              <w:t>支持同一页面显示出多个传染病及多个传染病附卡。支持在一个传染病报卡界面中，同时对多个传染病进行上报；如存在需要多个上报的附卡，则在报卡页面同一页后面显示多个附卡界面。保存上报时同时对主卡和附卡进行校验</w:t>
            </w:r>
          </w:p>
          <w:p w14:paraId="66D19418">
            <w:pPr>
              <w:pStyle w:val="12"/>
              <w:numPr>
                <w:ilvl w:val="0"/>
                <w:numId w:val="33"/>
              </w:numPr>
              <w:ind w:firstLineChars="0"/>
            </w:pPr>
            <w:r>
              <w:rPr>
                <w:rFonts w:hint="eastAsia"/>
              </w:rPr>
              <w:t>空卡上报:提供空卡上报功能，以满足特殊情况需要上报，但院内系统没有该患者信息</w:t>
            </w:r>
          </w:p>
          <w:p w14:paraId="112B391C">
            <w:pPr>
              <w:pStyle w:val="12"/>
              <w:numPr>
                <w:ilvl w:val="0"/>
                <w:numId w:val="32"/>
              </w:numPr>
              <w:ind w:firstLineChars="0"/>
              <w:rPr>
                <w:rFonts w:ascii="宋体" w:hAnsi="宋体"/>
                <w:szCs w:val="21"/>
              </w:rPr>
            </w:pPr>
            <w:r>
              <w:rPr>
                <w:rFonts w:hint="eastAsia" w:ascii="宋体" w:hAnsi="宋体"/>
                <w:szCs w:val="21"/>
              </w:rPr>
              <w:t>自动生成报卡：支持对慢病报卡预警后自动生成报卡</w:t>
            </w:r>
          </w:p>
          <w:p w14:paraId="423A9939">
            <w:pPr>
              <w:pStyle w:val="12"/>
              <w:numPr>
                <w:ilvl w:val="0"/>
                <w:numId w:val="32"/>
              </w:numPr>
              <w:ind w:firstLineChars="0"/>
              <w:rPr>
                <w:rFonts w:ascii="宋体" w:hAnsi="宋体"/>
                <w:szCs w:val="21"/>
              </w:rPr>
            </w:pPr>
            <w:r>
              <w:rPr>
                <w:rFonts w:hint="eastAsia" w:ascii="宋体" w:hAnsi="宋体"/>
                <w:szCs w:val="21"/>
              </w:rPr>
              <w:t>报卡暂存：支持对一次没有填写完成的报卡进行暂存，后续进行补充完善</w:t>
            </w:r>
          </w:p>
          <w:p w14:paraId="5D15066F">
            <w:pPr>
              <w:pStyle w:val="12"/>
              <w:numPr>
                <w:ilvl w:val="0"/>
                <w:numId w:val="32"/>
              </w:numPr>
              <w:ind w:firstLineChars="0"/>
              <w:rPr>
                <w:rFonts w:ascii="宋体" w:hAnsi="宋体"/>
                <w:szCs w:val="21"/>
              </w:rPr>
            </w:pPr>
            <w:r>
              <w:rPr>
                <w:rFonts w:hint="eastAsia" w:ascii="宋体" w:hAnsi="宋体"/>
                <w:szCs w:val="21"/>
              </w:rPr>
              <w:t>重卡提醒：</w:t>
            </w:r>
            <w:r>
              <w:rPr>
                <w:rFonts w:hint="eastAsia"/>
              </w:rPr>
              <w:t>填写报卡之前自动加载患者历史报卡列表，协助医生判断是否重卡；且上报时，根据后台配置的重卡周期和患者唯一信息，自动提示属于重卡限制再次上报</w:t>
            </w:r>
          </w:p>
          <w:p w14:paraId="0AA4AB4A">
            <w:pPr>
              <w:pStyle w:val="12"/>
              <w:numPr>
                <w:ilvl w:val="0"/>
                <w:numId w:val="32"/>
              </w:numPr>
              <w:ind w:firstLineChars="0"/>
              <w:rPr>
                <w:rFonts w:ascii="宋体" w:hAnsi="宋体"/>
                <w:szCs w:val="21"/>
              </w:rPr>
            </w:pPr>
            <w:r>
              <w:rPr>
                <w:rFonts w:hint="eastAsia" w:ascii="宋体" w:hAnsi="宋体"/>
                <w:szCs w:val="21"/>
              </w:rPr>
              <w:t>所有报卡中的必填项都有醒目的标识提醒</w:t>
            </w:r>
          </w:p>
          <w:p w14:paraId="6A4BFCFD">
            <w:pPr>
              <w:pStyle w:val="12"/>
              <w:numPr>
                <w:ilvl w:val="0"/>
                <w:numId w:val="32"/>
              </w:numPr>
              <w:ind w:firstLineChars="0"/>
              <w:rPr>
                <w:rFonts w:ascii="宋体" w:hAnsi="宋体"/>
                <w:szCs w:val="21"/>
              </w:rPr>
            </w:pPr>
            <w:r>
              <w:rPr>
                <w:rFonts w:hint="eastAsia" w:ascii="宋体" w:hAnsi="宋体"/>
                <w:szCs w:val="21"/>
              </w:rPr>
              <w:t>提供自定义维护多少年龄以内的患者需要填报监护人信息</w:t>
            </w:r>
          </w:p>
          <w:p w14:paraId="00355E37">
            <w:pPr>
              <w:pStyle w:val="12"/>
              <w:numPr>
                <w:ilvl w:val="0"/>
                <w:numId w:val="32"/>
              </w:numPr>
              <w:ind w:firstLineChars="0"/>
              <w:rPr>
                <w:rFonts w:ascii="宋体" w:hAnsi="宋体"/>
                <w:szCs w:val="21"/>
              </w:rPr>
            </w:pPr>
            <w:r>
              <w:rPr>
                <w:rFonts w:hint="eastAsia" w:ascii="宋体" w:hAnsi="宋体"/>
                <w:szCs w:val="21"/>
              </w:rPr>
              <w:t>向管理人员提供待处理报卡数据和明细，支持查看报卡详情，支持一件穿透查看患者档案</w:t>
            </w:r>
          </w:p>
          <w:p w14:paraId="1A6C1177">
            <w:pPr>
              <w:pStyle w:val="12"/>
              <w:numPr>
                <w:ilvl w:val="0"/>
                <w:numId w:val="32"/>
              </w:numPr>
              <w:ind w:firstLineChars="0"/>
              <w:rPr>
                <w:rFonts w:ascii="宋体" w:hAnsi="宋体"/>
                <w:szCs w:val="21"/>
              </w:rPr>
            </w:pPr>
            <w:r>
              <w:rPr>
                <w:rFonts w:hint="eastAsia" w:ascii="宋体" w:hAnsi="宋体"/>
                <w:szCs w:val="21"/>
              </w:rPr>
              <w:t>报卡审核：对临床上报的报卡进行审核，审核后的报卡可以取消审核，支持修改法定传染病报卡审核时间</w:t>
            </w:r>
          </w:p>
          <w:p w14:paraId="3EE6BF86">
            <w:pPr>
              <w:pStyle w:val="12"/>
              <w:numPr>
                <w:ilvl w:val="0"/>
                <w:numId w:val="32"/>
              </w:numPr>
              <w:ind w:firstLineChars="0"/>
              <w:rPr>
                <w:rFonts w:ascii="宋体" w:hAnsi="宋体"/>
                <w:szCs w:val="21"/>
              </w:rPr>
            </w:pPr>
            <w:r>
              <w:rPr>
                <w:rFonts w:hint="eastAsia" w:ascii="宋体" w:hAnsi="宋体"/>
                <w:szCs w:val="21"/>
              </w:rPr>
              <w:t>退卡：支持对临床上报的报卡进行删卡操作，需填写删卡原因，删卡原因可配置，支持进行取消退卡操作</w:t>
            </w:r>
          </w:p>
          <w:p w14:paraId="354E4FDA">
            <w:pPr>
              <w:pStyle w:val="12"/>
              <w:numPr>
                <w:ilvl w:val="0"/>
                <w:numId w:val="32"/>
              </w:numPr>
              <w:ind w:firstLineChars="0"/>
              <w:rPr>
                <w:rFonts w:ascii="宋体" w:hAnsi="宋体"/>
                <w:szCs w:val="21"/>
              </w:rPr>
            </w:pPr>
            <w:r>
              <w:rPr>
                <w:rFonts w:hint="eastAsia" w:ascii="宋体" w:hAnsi="宋体"/>
                <w:szCs w:val="21"/>
              </w:rPr>
              <w:t>删卡：支持对临床上报的报卡进行退卡操作，需填写退卡原因，退卡原因可配置，支持进行取消删卡操作</w:t>
            </w:r>
          </w:p>
          <w:p w14:paraId="185A37E3">
            <w:pPr>
              <w:pStyle w:val="12"/>
              <w:numPr>
                <w:ilvl w:val="0"/>
                <w:numId w:val="32"/>
              </w:numPr>
              <w:ind w:firstLineChars="0"/>
              <w:rPr>
                <w:rFonts w:ascii="宋体" w:hAnsi="宋体"/>
                <w:szCs w:val="21"/>
              </w:rPr>
            </w:pPr>
            <w:r>
              <w:rPr>
                <w:rFonts w:hint="eastAsia" w:ascii="宋体" w:hAnsi="宋体"/>
                <w:szCs w:val="21"/>
              </w:rPr>
              <w:t>订正：提供传染病报卡订正功能，在患者病情发生变化时，可手动进行订正，且在订正报卡中可查看原上报疾病信息</w:t>
            </w:r>
          </w:p>
          <w:p w14:paraId="581EC333">
            <w:pPr>
              <w:pStyle w:val="12"/>
              <w:numPr>
                <w:ilvl w:val="0"/>
                <w:numId w:val="32"/>
              </w:numPr>
              <w:ind w:firstLineChars="0"/>
              <w:rPr>
                <w:rFonts w:ascii="宋体" w:hAnsi="宋体"/>
                <w:szCs w:val="21"/>
              </w:rPr>
            </w:pPr>
            <w:r>
              <w:rPr>
                <w:rFonts w:hint="eastAsia" w:ascii="宋体" w:hAnsi="宋体"/>
                <w:szCs w:val="21"/>
              </w:rPr>
              <w:t>支持对报卡直报状态、导出状态、打印状态、直报提示等进行标记，可在界面上一目了然的看到报卡直报、导出情况</w:t>
            </w:r>
          </w:p>
          <w:p w14:paraId="2F335D29">
            <w:pPr>
              <w:pStyle w:val="12"/>
              <w:numPr>
                <w:ilvl w:val="0"/>
                <w:numId w:val="32"/>
              </w:numPr>
              <w:ind w:firstLineChars="0"/>
              <w:rPr>
                <w:rFonts w:ascii="宋体" w:hAnsi="宋体"/>
                <w:szCs w:val="21"/>
              </w:rPr>
            </w:pPr>
            <w:r>
              <w:rPr>
                <w:rFonts w:hint="eastAsia" w:ascii="宋体" w:hAnsi="宋体"/>
                <w:szCs w:val="21"/>
              </w:rPr>
              <w:t>报卡时间轴：支持对报卡的全过程管理，</w:t>
            </w:r>
            <w:r>
              <w:rPr>
                <w:rFonts w:hint="eastAsia"/>
              </w:rPr>
              <w:t>以时间轴的形式记录报卡的全过程操作，报过上报人、上报时间、修改人、修改时间、修改内容、审核人、审核时间等</w:t>
            </w:r>
          </w:p>
          <w:p w14:paraId="6089BB5E">
            <w:pPr>
              <w:pStyle w:val="12"/>
              <w:numPr>
                <w:ilvl w:val="0"/>
                <w:numId w:val="32"/>
              </w:numPr>
              <w:ind w:firstLineChars="0"/>
              <w:rPr>
                <w:rFonts w:ascii="宋体" w:hAnsi="宋体"/>
                <w:szCs w:val="21"/>
              </w:rPr>
            </w:pPr>
            <w:r>
              <w:rPr>
                <w:rFonts w:hint="eastAsia" w:ascii="宋体" w:hAnsi="宋体"/>
                <w:szCs w:val="21"/>
              </w:rPr>
              <w:t>报卡集成管理：采用疾病同质化管理的原则，支持对多种疾病的报卡在一个页面处理，只需切换报卡类型即可，避免进入多个页面完成报卡审核，简化操作流程</w:t>
            </w:r>
          </w:p>
          <w:p w14:paraId="1EE5FE4F">
            <w:pPr>
              <w:pStyle w:val="12"/>
              <w:numPr>
                <w:ilvl w:val="0"/>
                <w:numId w:val="32"/>
              </w:numPr>
              <w:ind w:firstLineChars="0"/>
              <w:rPr>
                <w:rFonts w:ascii="宋体" w:hAnsi="宋体"/>
                <w:szCs w:val="21"/>
              </w:rPr>
            </w:pPr>
            <w:r>
              <w:rPr>
                <w:rFonts w:hint="eastAsia" w:ascii="宋体" w:hAnsi="宋体"/>
                <w:szCs w:val="21"/>
              </w:rPr>
              <w:t>自主查重：支持在报卡审核时进行主动查重</w:t>
            </w:r>
          </w:p>
          <w:p w14:paraId="7859EB85">
            <w:pPr>
              <w:pStyle w:val="12"/>
              <w:numPr>
                <w:ilvl w:val="0"/>
                <w:numId w:val="32"/>
              </w:numPr>
              <w:ind w:firstLineChars="0"/>
              <w:rPr>
                <w:rFonts w:ascii="宋体" w:hAnsi="宋体"/>
                <w:szCs w:val="21"/>
              </w:rPr>
            </w:pPr>
            <w:r>
              <w:rPr>
                <w:rFonts w:hint="eastAsia" w:ascii="宋体" w:hAnsi="宋体"/>
                <w:szCs w:val="21"/>
              </w:rPr>
              <w:t>支持批量审核和批量打印报卡，支持报卡导出excel格式</w:t>
            </w:r>
          </w:p>
          <w:p w14:paraId="2CAD50D1">
            <w:pPr>
              <w:pStyle w:val="12"/>
              <w:numPr>
                <w:ilvl w:val="0"/>
                <w:numId w:val="32"/>
              </w:numPr>
              <w:ind w:firstLineChars="0"/>
              <w:rPr>
                <w:rFonts w:ascii="宋体" w:hAnsi="宋体"/>
                <w:szCs w:val="21"/>
              </w:rPr>
            </w:pPr>
            <w:r>
              <w:rPr>
                <w:rFonts w:hint="eastAsia" w:ascii="宋体" w:hAnsi="宋体"/>
                <w:szCs w:val="21"/>
              </w:rPr>
              <w:t>报卡患者数据导出：支持导出列自定义，支持导出列顺序自定义</w:t>
            </w:r>
          </w:p>
          <w:p w14:paraId="10023360">
            <w:pPr>
              <w:pStyle w:val="12"/>
              <w:numPr>
                <w:ilvl w:val="0"/>
                <w:numId w:val="32"/>
              </w:numPr>
              <w:ind w:firstLineChars="0"/>
              <w:rPr>
                <w:rFonts w:ascii="宋体" w:hAnsi="宋体"/>
                <w:szCs w:val="21"/>
              </w:rPr>
            </w:pPr>
            <w:r>
              <w:rPr>
                <w:rFonts w:hint="eastAsia"/>
              </w:rPr>
              <w:t>支持对特殊疾病报卡进行单独管理，如肺结核报卡、死亡报卡、梅毒感染孕产妇报卡等</w:t>
            </w:r>
          </w:p>
        </w:tc>
      </w:tr>
      <w:tr w14:paraId="395D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3A22DA03">
            <w:pPr>
              <w:jc w:val="center"/>
            </w:pPr>
            <w:r>
              <w:rPr>
                <w:rFonts w:hint="eastAsia"/>
              </w:rPr>
              <w:t>8</w:t>
            </w:r>
          </w:p>
        </w:tc>
        <w:tc>
          <w:tcPr>
            <w:tcW w:w="2258" w:type="dxa"/>
            <w:vAlign w:val="center"/>
          </w:tcPr>
          <w:p w14:paraId="66126FB7">
            <w:pPr>
              <w:jc w:val="center"/>
            </w:pPr>
            <w:r>
              <w:rPr>
                <w:rFonts w:hint="eastAsia"/>
              </w:rPr>
              <w:t>自动生成报卡</w:t>
            </w:r>
          </w:p>
        </w:tc>
        <w:tc>
          <w:tcPr>
            <w:tcW w:w="6228" w:type="dxa"/>
          </w:tcPr>
          <w:p w14:paraId="6C54BC62">
            <w:pPr>
              <w:numPr>
                <w:ilvl w:val="0"/>
                <w:numId w:val="34"/>
              </w:numPr>
              <w:rPr>
                <w:rFonts w:asciiTheme="minorEastAsia" w:hAnsiTheme="minorEastAsia" w:cstheme="minorEastAsia"/>
              </w:rPr>
            </w:pPr>
            <w:r>
              <w:rPr>
                <w:rFonts w:hint="eastAsia" w:asciiTheme="minorEastAsia" w:hAnsiTheme="minorEastAsia" w:cstheme="minorEastAsia"/>
              </w:rPr>
              <w:t>支持对肿瘤报卡、心脑血管、伤害报卡、慢性阻塞肺炎、罕见病自动生成报卡，减轻临床负担</w:t>
            </w:r>
          </w:p>
          <w:p w14:paraId="09CBF3F1">
            <w:pPr>
              <w:numPr>
                <w:ilvl w:val="0"/>
                <w:numId w:val="34"/>
              </w:numPr>
              <w:rPr>
                <w:rFonts w:asciiTheme="minorEastAsia" w:hAnsiTheme="minorEastAsia" w:cstheme="minorEastAsia"/>
              </w:rPr>
            </w:pPr>
            <w:r>
              <w:rPr>
                <w:rFonts w:hint="eastAsia" w:asciiTheme="minorEastAsia" w:hAnsiTheme="minorEastAsia" w:cstheme="minorEastAsia"/>
              </w:rPr>
              <w:t>肿瘤报卡自动生成：系统根据预警数据首先判断患者是否存在肿瘤报卡，如果没有报卡，则自动生成一条未审核的报卡数据，同时支持在预警基础上如果患者没有报卡还可以根据患者ICD10诊断是否属于肿瘤诊断来自动生成报卡</w:t>
            </w:r>
          </w:p>
          <w:p w14:paraId="705A0D3C">
            <w:pPr>
              <w:numPr>
                <w:ilvl w:val="0"/>
                <w:numId w:val="34"/>
              </w:numPr>
              <w:rPr>
                <w:rFonts w:asciiTheme="minorEastAsia" w:hAnsiTheme="minorEastAsia" w:cstheme="minorEastAsia"/>
              </w:rPr>
            </w:pPr>
            <w:r>
              <w:rPr>
                <w:rFonts w:hint="eastAsia" w:asciiTheme="minorEastAsia" w:hAnsiTheme="minorEastAsia" w:cstheme="minorEastAsia"/>
              </w:rPr>
              <w:t>心脑血管报卡自动生成：系统根据预警数据首先判断患者是否存在心脑血管报卡，如果没有报卡，则自动生成一条未审核的报卡数据，同时支持在预警基础上如果患者没有报卡还可以根据患者ICD10诊断是否属于心脑血管诊断来自动生成报卡</w:t>
            </w:r>
          </w:p>
          <w:p w14:paraId="49BAA8D6">
            <w:pPr>
              <w:numPr>
                <w:ilvl w:val="0"/>
                <w:numId w:val="34"/>
              </w:numPr>
              <w:rPr>
                <w:rFonts w:asciiTheme="minorEastAsia" w:hAnsiTheme="minorEastAsia" w:cstheme="minorEastAsia"/>
              </w:rPr>
            </w:pPr>
            <w:r>
              <w:rPr>
                <w:rFonts w:hint="eastAsia" w:asciiTheme="minorEastAsia" w:hAnsiTheme="minorEastAsia" w:cstheme="minorEastAsia"/>
              </w:rPr>
              <w:t>罕见病报卡自动生成：若ICD10诊断属于罕见病诊断，且该患者没有罕见病报卡，系统会自动生成一条未审核罕见病报卡</w:t>
            </w:r>
          </w:p>
          <w:p w14:paraId="18EC0544">
            <w:pPr>
              <w:numPr>
                <w:ilvl w:val="0"/>
                <w:numId w:val="34"/>
              </w:numPr>
              <w:rPr>
                <w:rFonts w:asciiTheme="minorEastAsia" w:hAnsiTheme="minorEastAsia" w:cstheme="minorEastAsia"/>
              </w:rPr>
            </w:pPr>
            <w:r>
              <w:rPr>
                <w:rFonts w:hint="eastAsia" w:asciiTheme="minorEastAsia" w:hAnsiTheme="minorEastAsia" w:cstheme="minorEastAsia"/>
              </w:rPr>
              <w:t>伤害报卡自动生成：对于住院患者，若ICD10诊断属于伤害诊断，系统支持匹配以S或T开头的编码，同时该住院号下没有伤害报卡，系统会自动生成一条未审核伤害报卡</w:t>
            </w:r>
          </w:p>
          <w:p w14:paraId="3192CE48">
            <w:pPr>
              <w:pStyle w:val="12"/>
              <w:numPr>
                <w:ilvl w:val="0"/>
                <w:numId w:val="34"/>
              </w:numPr>
              <w:ind w:firstLineChars="0"/>
            </w:pPr>
            <w:r>
              <w:rPr>
                <w:rFonts w:hint="eastAsia" w:asciiTheme="minorEastAsia" w:hAnsiTheme="minorEastAsia" w:cstheme="minorEastAsia"/>
              </w:rPr>
              <w:t>慢性阻塞肺炎报卡自动生成：慢性阻塞肺炎报卡支持根据预警数据若系统不存在报卡则自动生成慢阻肺报卡，报卡状态为未审核</w:t>
            </w:r>
          </w:p>
          <w:p w14:paraId="68006C0E">
            <w:pPr>
              <w:pStyle w:val="12"/>
              <w:numPr>
                <w:ilvl w:val="0"/>
                <w:numId w:val="34"/>
              </w:numPr>
              <w:ind w:firstLineChars="0"/>
            </w:pPr>
            <w:r>
              <w:rPr>
                <w:rFonts w:hint="eastAsia" w:asciiTheme="minorEastAsia" w:hAnsiTheme="minorEastAsia" w:cstheme="minorEastAsia"/>
              </w:rPr>
              <w:t>自动生成报卡时支持重卡校验</w:t>
            </w:r>
          </w:p>
          <w:p w14:paraId="733E555C">
            <w:pPr>
              <w:numPr>
                <w:ilvl w:val="0"/>
                <w:numId w:val="34"/>
              </w:numPr>
            </w:pPr>
            <w:r>
              <w:rPr>
                <w:rFonts w:hint="eastAsia" w:asciiTheme="minorEastAsia" w:hAnsiTheme="minorEastAsia" w:cstheme="minorEastAsia"/>
              </w:rPr>
              <w:t>对于自动生成的未审核报卡系统自动填充患者基本信息、疾病信息，临床补充少量信息后即可完成报卡</w:t>
            </w:r>
          </w:p>
        </w:tc>
      </w:tr>
      <w:tr w14:paraId="1CD4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59398FF1">
            <w:pPr>
              <w:jc w:val="center"/>
            </w:pPr>
            <w:r>
              <w:rPr>
                <w:rFonts w:hint="eastAsia"/>
              </w:rPr>
              <w:t>9</w:t>
            </w:r>
          </w:p>
        </w:tc>
        <w:tc>
          <w:tcPr>
            <w:tcW w:w="2258" w:type="dxa"/>
            <w:vAlign w:val="center"/>
          </w:tcPr>
          <w:p w14:paraId="1053E61F">
            <w:pPr>
              <w:jc w:val="center"/>
            </w:pPr>
            <w:r>
              <w:rPr>
                <w:rFonts w:hint="eastAsia"/>
              </w:rPr>
              <w:t>嵌入报卡</w:t>
            </w:r>
          </w:p>
        </w:tc>
        <w:tc>
          <w:tcPr>
            <w:tcW w:w="6228" w:type="dxa"/>
          </w:tcPr>
          <w:p w14:paraId="7DAFF75E">
            <w:pPr>
              <w:numPr>
                <w:ilvl w:val="0"/>
                <w:numId w:val="35"/>
              </w:numPr>
              <w:rPr>
                <w:rFonts w:asciiTheme="minorEastAsia" w:hAnsiTheme="minorEastAsia" w:cstheme="minorEastAsia"/>
              </w:rPr>
            </w:pPr>
            <w:r>
              <w:rPr>
                <w:rFonts w:hint="eastAsia" w:asciiTheme="minorEastAsia" w:hAnsiTheme="minorEastAsia" w:cstheme="minorEastAsia"/>
              </w:rPr>
              <w:t xml:space="preserve"> 支持临床工作站嵌入HIS系统或者EMR系统中，    点击按钮弹出临床客户端</w:t>
            </w:r>
          </w:p>
          <w:p w14:paraId="62B1D59F">
            <w:pPr>
              <w:numPr>
                <w:ilvl w:val="0"/>
                <w:numId w:val="35"/>
              </w:numPr>
              <w:rPr>
                <w:rFonts w:asciiTheme="minorEastAsia" w:hAnsiTheme="minorEastAsia" w:cstheme="minorEastAsia"/>
              </w:rPr>
            </w:pPr>
            <w:r>
              <w:rPr>
                <w:rFonts w:hint="eastAsia" w:asciiTheme="minorEastAsia" w:hAnsiTheme="minorEastAsia" w:cstheme="minorEastAsia"/>
              </w:rPr>
              <w:t xml:space="preserve"> 支持单独报卡进行嵌入调用，系统自动判断是否为重复报卡，如果不是重复报卡则直接弹出报卡界面</w:t>
            </w:r>
          </w:p>
          <w:p w14:paraId="5B5D13FF">
            <w:pPr>
              <w:numPr>
                <w:ilvl w:val="0"/>
                <w:numId w:val="35"/>
              </w:numPr>
              <w:rPr>
                <w:rFonts w:ascii="宋体" w:hAnsi="宋体"/>
                <w:szCs w:val="21"/>
              </w:rPr>
            </w:pPr>
            <w:r>
              <w:rPr>
                <w:rFonts w:hint="eastAsia" w:asciiTheme="minorEastAsia" w:hAnsiTheme="minorEastAsia" w:cstheme="minorEastAsia"/>
              </w:rPr>
              <w:t xml:space="preserve"> 支持报卡集中嵌入调用，弹出集中报卡界面，集中报卡界面可查看历史报卡记录，也可以选择报卡进行上报</w:t>
            </w:r>
          </w:p>
        </w:tc>
      </w:tr>
      <w:tr w14:paraId="55CF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30607DEB">
            <w:pPr>
              <w:jc w:val="center"/>
            </w:pPr>
            <w:r>
              <w:rPr>
                <w:rFonts w:hint="eastAsia"/>
              </w:rPr>
              <w:t>10</w:t>
            </w:r>
          </w:p>
        </w:tc>
        <w:tc>
          <w:tcPr>
            <w:tcW w:w="2258" w:type="dxa"/>
            <w:vAlign w:val="center"/>
          </w:tcPr>
          <w:p w14:paraId="00CB6336">
            <w:pPr>
              <w:jc w:val="center"/>
            </w:pPr>
            <w:r>
              <w:rPr>
                <w:rFonts w:hint="eastAsia"/>
              </w:rPr>
              <w:t>强制报卡</w:t>
            </w:r>
          </w:p>
        </w:tc>
        <w:tc>
          <w:tcPr>
            <w:tcW w:w="6228" w:type="dxa"/>
          </w:tcPr>
          <w:p w14:paraId="15A9C2FF">
            <w:pPr>
              <w:pStyle w:val="12"/>
              <w:numPr>
                <w:ilvl w:val="0"/>
                <w:numId w:val="36"/>
              </w:numPr>
              <w:ind w:firstLineChars="0"/>
            </w:pPr>
            <w:r>
              <w:rPr>
                <w:rFonts w:hint="eastAsia"/>
              </w:rPr>
              <w:t>诊断触发弹卡：支持医生在HIS系统下诊断后立即调用蓝蜻蜓诊断触发服务，如果是传染病，首先自动判断既往是否已上报，如未上报则弹出传染病报告卡</w:t>
            </w:r>
          </w:p>
          <w:p w14:paraId="2CAA62D7">
            <w:pPr>
              <w:pStyle w:val="12"/>
              <w:numPr>
                <w:ilvl w:val="0"/>
                <w:numId w:val="36"/>
              </w:numPr>
              <w:ind w:firstLineChars="0"/>
            </w:pPr>
            <w:r>
              <w:rPr>
                <w:rFonts w:hint="eastAsia"/>
              </w:rPr>
              <w:t>检验触发弹卡：根据患者的检验阳性结果触发弹卡</w:t>
            </w:r>
          </w:p>
          <w:p w14:paraId="1F9EABE9">
            <w:pPr>
              <w:pStyle w:val="12"/>
              <w:numPr>
                <w:ilvl w:val="0"/>
                <w:numId w:val="36"/>
              </w:numPr>
              <w:ind w:firstLineChars="0"/>
            </w:pPr>
            <w:r>
              <w:rPr>
                <w:rFonts w:hint="eastAsia"/>
              </w:rPr>
              <w:t>强制报卡：支持需要完成传染病报告卡填报后才能继续其他操作，若不需要上报，则必须填写排除原因</w:t>
            </w:r>
          </w:p>
          <w:p w14:paraId="2535C4A7">
            <w:pPr>
              <w:pStyle w:val="12"/>
              <w:numPr>
                <w:ilvl w:val="0"/>
                <w:numId w:val="36"/>
              </w:numPr>
              <w:ind w:firstLineChars="0"/>
              <w:rPr>
                <w:rFonts w:ascii="宋体" w:hAnsi="宋体"/>
                <w:szCs w:val="21"/>
              </w:rPr>
            </w:pPr>
            <w:r>
              <w:rPr>
                <w:rFonts w:hint="eastAsia"/>
              </w:rPr>
              <w:t>可根据疾病种类设置是否需要强制报卡</w:t>
            </w:r>
          </w:p>
          <w:p w14:paraId="1AC602F0">
            <w:pPr>
              <w:pStyle w:val="12"/>
              <w:numPr>
                <w:ilvl w:val="0"/>
                <w:numId w:val="36"/>
              </w:numPr>
              <w:ind w:firstLineChars="0"/>
              <w:rPr>
                <w:rFonts w:ascii="宋体" w:hAnsi="宋体"/>
                <w:szCs w:val="21"/>
              </w:rPr>
            </w:pPr>
            <w:r>
              <w:rPr>
                <w:rFonts w:hint="eastAsia"/>
              </w:rPr>
              <w:t>诊断触发知识库：自带全面的诊断触发知识库，含法定传染病、非法定传染病、死亡、慢性非传染性疾病、食源性疾病等</w:t>
            </w:r>
          </w:p>
          <w:p w14:paraId="396B7F3A">
            <w:pPr>
              <w:pStyle w:val="12"/>
              <w:numPr>
                <w:ilvl w:val="0"/>
                <w:numId w:val="36"/>
              </w:numPr>
              <w:ind w:firstLineChars="0"/>
              <w:rPr>
                <w:rFonts w:ascii="宋体" w:hAnsi="宋体"/>
                <w:szCs w:val="21"/>
              </w:rPr>
            </w:pPr>
            <w:r>
              <w:rPr>
                <w:rFonts w:hint="eastAsia"/>
              </w:rPr>
              <w:t>诊断触发自动匹配：支持医院在用的ICD-10字典与系统诊断触发知识库进行自动匹配，快速完成本地化诊断触发配置</w:t>
            </w:r>
          </w:p>
          <w:p w14:paraId="6BFCA195">
            <w:pPr>
              <w:pStyle w:val="12"/>
              <w:numPr>
                <w:ilvl w:val="0"/>
                <w:numId w:val="36"/>
              </w:numPr>
              <w:ind w:firstLineChars="0"/>
              <w:rPr>
                <w:rFonts w:ascii="宋体" w:hAnsi="宋体"/>
                <w:szCs w:val="21"/>
              </w:rPr>
            </w:pPr>
            <w:r>
              <w:rPr>
                <w:rFonts w:hint="eastAsia" w:ascii="宋体" w:hAnsi="宋体"/>
                <w:szCs w:val="21"/>
              </w:rPr>
              <w:t>支持诊断触发弹卡之后多种选择方式(如立即上报、修改诊断、稍后上报)以适应不同场景的需要</w:t>
            </w:r>
          </w:p>
        </w:tc>
      </w:tr>
      <w:tr w14:paraId="671A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1D3782BD">
            <w:pPr>
              <w:jc w:val="center"/>
            </w:pPr>
            <w:r>
              <w:rPr>
                <w:rFonts w:hint="eastAsia"/>
              </w:rPr>
              <w:t>11</w:t>
            </w:r>
          </w:p>
        </w:tc>
        <w:tc>
          <w:tcPr>
            <w:tcW w:w="2258" w:type="dxa"/>
            <w:vAlign w:val="center"/>
          </w:tcPr>
          <w:p w14:paraId="759F54BD">
            <w:pPr>
              <w:jc w:val="center"/>
            </w:pPr>
            <w:r>
              <w:rPr>
                <w:rFonts w:hint="eastAsia"/>
              </w:rPr>
              <w:t>网络直报</w:t>
            </w:r>
          </w:p>
        </w:tc>
        <w:tc>
          <w:tcPr>
            <w:tcW w:w="6228" w:type="dxa"/>
          </w:tcPr>
          <w:p w14:paraId="7C82CCD2">
            <w:pPr>
              <w:pStyle w:val="12"/>
              <w:numPr>
                <w:ilvl w:val="0"/>
                <w:numId w:val="37"/>
              </w:numPr>
              <w:ind w:firstLineChars="0"/>
              <w:rPr>
                <w:rFonts w:ascii="宋体" w:hAnsi="宋体"/>
                <w:szCs w:val="21"/>
              </w:rPr>
            </w:pPr>
            <w:r>
              <w:rPr>
                <w:rFonts w:hint="eastAsia" w:ascii="宋体" w:hAnsi="宋体"/>
                <w:szCs w:val="21"/>
              </w:rPr>
              <w:t>数据交换上报：支持院内传染病数据和死亡数据通过前置交换程序自动与国家省市CDC平台进行数据交换上报，同时支持其他数据如慢病数据、伤害监测数据、食源性疾病数据等与对应的上级区域平台进行数据交换上报</w:t>
            </w:r>
          </w:p>
          <w:p w14:paraId="40F87F5D">
            <w:pPr>
              <w:pStyle w:val="12"/>
              <w:numPr>
                <w:ilvl w:val="0"/>
                <w:numId w:val="37"/>
              </w:numPr>
              <w:ind w:firstLineChars="0"/>
              <w:rPr>
                <w:rFonts w:ascii="宋体" w:hAnsi="宋体"/>
                <w:szCs w:val="21"/>
              </w:rPr>
            </w:pPr>
            <w:r>
              <w:rPr>
                <w:rFonts w:hint="eastAsia" w:ascii="宋体" w:hAnsi="宋体"/>
                <w:szCs w:val="21"/>
              </w:rPr>
              <w:t>直报机器人：支持对已审核的报卡导出直报文件自动填充上报到上级平台，避免二次录入</w:t>
            </w:r>
          </w:p>
          <w:p w14:paraId="183ADBFE">
            <w:pPr>
              <w:pStyle w:val="12"/>
              <w:numPr>
                <w:ilvl w:val="0"/>
                <w:numId w:val="37"/>
              </w:numPr>
              <w:ind w:firstLineChars="0"/>
              <w:rPr>
                <w:rFonts w:ascii="宋体" w:hAnsi="宋体"/>
                <w:szCs w:val="21"/>
              </w:rPr>
            </w:pPr>
            <w:r>
              <w:rPr>
                <w:rFonts w:hint="eastAsia" w:ascii="宋体" w:hAnsi="宋体"/>
                <w:szCs w:val="21"/>
              </w:rPr>
              <w:t>二维码上报：支持通过扫描二维码的方式将传染病报卡数据自动填充到国家CDC上报网页完成数据上报</w:t>
            </w:r>
          </w:p>
          <w:p w14:paraId="25166482">
            <w:pPr>
              <w:pStyle w:val="12"/>
              <w:numPr>
                <w:ilvl w:val="0"/>
                <w:numId w:val="37"/>
              </w:numPr>
              <w:ind w:firstLineChars="0"/>
              <w:rPr>
                <w:rFonts w:ascii="宋体" w:hAnsi="宋体"/>
                <w:szCs w:val="21"/>
              </w:rPr>
            </w:pPr>
            <w:r>
              <w:rPr>
                <w:rFonts w:hint="eastAsia" w:ascii="宋体" w:hAnsi="宋体"/>
                <w:szCs w:val="21"/>
              </w:rPr>
              <w:t>导出导入模式：支持一键导出直报文件后再导入上传到对应的上级平台，如食源性疾病报卡、心脑血管报卡、肿瘤报卡、慢阻肺报卡等等</w:t>
            </w:r>
          </w:p>
        </w:tc>
      </w:tr>
      <w:tr w14:paraId="6FE0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03E34DB7">
            <w:pPr>
              <w:jc w:val="center"/>
            </w:pPr>
            <w:r>
              <w:rPr>
                <w:rFonts w:hint="eastAsia"/>
              </w:rPr>
              <w:t>12</w:t>
            </w:r>
          </w:p>
        </w:tc>
        <w:tc>
          <w:tcPr>
            <w:tcW w:w="2258" w:type="dxa"/>
            <w:vAlign w:val="center"/>
          </w:tcPr>
          <w:p w14:paraId="42291968">
            <w:pPr>
              <w:jc w:val="center"/>
            </w:pPr>
            <w:r>
              <w:rPr>
                <w:rFonts w:hint="eastAsia" w:ascii="宋体" w:hAnsi="宋体"/>
                <w:szCs w:val="21"/>
              </w:rPr>
              <w:t>食源性疾病直联直报</w:t>
            </w:r>
          </w:p>
        </w:tc>
        <w:tc>
          <w:tcPr>
            <w:tcW w:w="6228" w:type="dxa"/>
          </w:tcPr>
          <w:p w14:paraId="3DC07FE6">
            <w:pPr>
              <w:pStyle w:val="12"/>
              <w:numPr>
                <w:ilvl w:val="0"/>
                <w:numId w:val="38"/>
              </w:numPr>
              <w:ind w:firstLineChars="0"/>
            </w:pPr>
            <w:r>
              <w:rPr>
                <w:rFonts w:hint="eastAsia"/>
              </w:rPr>
              <w:t>HIS系统一键提交后数据直接进入食源性疾病病例监测系统</w:t>
            </w:r>
          </w:p>
          <w:p w14:paraId="1CF78195">
            <w:pPr>
              <w:pStyle w:val="12"/>
              <w:numPr>
                <w:ilvl w:val="0"/>
                <w:numId w:val="38"/>
              </w:numPr>
              <w:ind w:firstLineChars="0"/>
            </w:pPr>
            <w:r>
              <w:rPr>
                <w:rFonts w:hint="eastAsia"/>
              </w:rPr>
              <w:t>数据状态为县级待审核</w:t>
            </w:r>
          </w:p>
          <w:p w14:paraId="5E33019A">
            <w:pPr>
              <w:pStyle w:val="12"/>
              <w:numPr>
                <w:ilvl w:val="0"/>
                <w:numId w:val="38"/>
              </w:numPr>
              <w:ind w:firstLineChars="0"/>
            </w:pPr>
            <w:r>
              <w:rPr>
                <w:rFonts w:hint="eastAsia"/>
              </w:rPr>
              <w:t>多院区医疗机构数据可区分上报</w:t>
            </w:r>
          </w:p>
          <w:p w14:paraId="65D14DEE">
            <w:pPr>
              <w:pStyle w:val="12"/>
              <w:numPr>
                <w:ilvl w:val="0"/>
                <w:numId w:val="38"/>
              </w:numPr>
              <w:ind w:firstLineChars="0"/>
            </w:pPr>
            <w:r>
              <w:rPr>
                <w:rFonts w:hint="eastAsia"/>
              </w:rPr>
              <w:t>可根据医疗机构所属报告单位类型不同，区分报告医院、哨点医院数据上报</w:t>
            </w:r>
          </w:p>
          <w:p w14:paraId="29A78D43">
            <w:pPr>
              <w:pStyle w:val="12"/>
              <w:numPr>
                <w:ilvl w:val="0"/>
                <w:numId w:val="38"/>
              </w:numPr>
              <w:ind w:firstLineChars="0"/>
            </w:pPr>
            <w:r>
              <w:rPr>
                <w:rFonts w:hint="eastAsia"/>
              </w:rPr>
              <w:t>支持通过VPN、政务专网、卫健专网等方式将数据直连直报至国家食源监测网</w:t>
            </w:r>
          </w:p>
          <w:p w14:paraId="1BE3091A">
            <w:pPr>
              <w:pStyle w:val="12"/>
              <w:numPr>
                <w:ilvl w:val="0"/>
                <w:numId w:val="38"/>
              </w:numPr>
              <w:ind w:firstLineChars="0"/>
              <w:rPr>
                <w:rFonts w:ascii="宋体" w:hAnsi="宋体"/>
                <w:szCs w:val="21"/>
              </w:rPr>
            </w:pPr>
            <w:r>
              <w:rPr>
                <w:rFonts w:hint="eastAsia" w:ascii="Arial" w:hAnsi="Arial"/>
              </w:rPr>
              <w:t>向食源性疾病报告卡管理人员提供上报科室等维度统计的功能</w:t>
            </w:r>
          </w:p>
        </w:tc>
      </w:tr>
      <w:tr w14:paraId="1E88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14C914C">
            <w:pPr>
              <w:jc w:val="center"/>
            </w:pPr>
            <w:r>
              <w:rPr>
                <w:rFonts w:hint="eastAsia"/>
              </w:rPr>
              <w:t>13</w:t>
            </w:r>
          </w:p>
        </w:tc>
        <w:tc>
          <w:tcPr>
            <w:tcW w:w="2258" w:type="dxa"/>
            <w:vAlign w:val="center"/>
          </w:tcPr>
          <w:p w14:paraId="116EC73C">
            <w:pPr>
              <w:pStyle w:val="6"/>
              <w:ind w:left="0" w:leftChars="0" w:firstLine="0" w:firstLineChars="0"/>
              <w:jc w:val="center"/>
            </w:pPr>
            <w:r>
              <w:rPr>
                <w:rFonts w:hint="eastAsia"/>
              </w:rPr>
              <w:t>节假日居家报卡</w:t>
            </w:r>
          </w:p>
        </w:tc>
        <w:tc>
          <w:tcPr>
            <w:tcW w:w="6228" w:type="dxa"/>
          </w:tcPr>
          <w:p w14:paraId="61DE0C3B">
            <w:pPr>
              <w:pStyle w:val="12"/>
              <w:ind w:firstLine="0" w:firstLineChars="0"/>
            </w:pPr>
            <w:r>
              <w:rPr>
                <w:rFonts w:hint="eastAsia" w:ascii="Times New Roman" w:hAnsi="Times New Roman" w:eastAsia="宋体" w:cs="Times New Roman"/>
              </w:rPr>
              <w:t>提供配套完整安全方案前提下的报卡插件，支持用户在节假日期间居家审卡及上报到国家CDC，安全方案涉及医院前置机、密码短信验证及国密SM4加密解密方法等</w:t>
            </w:r>
          </w:p>
        </w:tc>
      </w:tr>
      <w:tr w14:paraId="4B86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672F688B">
            <w:pPr>
              <w:jc w:val="center"/>
            </w:pPr>
            <w:r>
              <w:rPr>
                <w:rFonts w:hint="eastAsia"/>
              </w:rPr>
              <w:t>14</w:t>
            </w:r>
          </w:p>
        </w:tc>
        <w:tc>
          <w:tcPr>
            <w:tcW w:w="2258" w:type="dxa"/>
            <w:vAlign w:val="center"/>
          </w:tcPr>
          <w:p w14:paraId="20CA9429">
            <w:pPr>
              <w:jc w:val="center"/>
            </w:pPr>
            <w:r>
              <w:rPr>
                <w:rFonts w:hint="eastAsia"/>
              </w:rPr>
              <w:t>日志查询</w:t>
            </w:r>
          </w:p>
        </w:tc>
        <w:tc>
          <w:tcPr>
            <w:tcW w:w="6228" w:type="dxa"/>
          </w:tcPr>
          <w:p w14:paraId="16A29F72">
            <w:pPr>
              <w:pStyle w:val="12"/>
              <w:numPr>
                <w:ilvl w:val="0"/>
                <w:numId w:val="39"/>
              </w:numPr>
              <w:ind w:left="420" w:hanging="420" w:hangingChars="200"/>
              <w:rPr>
                <w:rFonts w:ascii="宋体" w:hAnsi="宋体"/>
                <w:szCs w:val="21"/>
              </w:rPr>
            </w:pPr>
            <w:r>
              <w:rPr>
                <w:rFonts w:hint="eastAsia" w:ascii="宋体" w:hAnsi="宋体"/>
                <w:szCs w:val="21"/>
              </w:rPr>
              <w:t xml:space="preserve"> 自动生成门诊患者日志且“预警已报卡”患者、“预警未处理”患者、“预警已排除”患者、“预警待查”患者用不同颜色标注显示，</w:t>
            </w:r>
          </w:p>
          <w:p w14:paraId="77CB94E1">
            <w:pPr>
              <w:pStyle w:val="12"/>
              <w:numPr>
                <w:ilvl w:val="0"/>
                <w:numId w:val="39"/>
              </w:numPr>
              <w:ind w:left="420" w:hanging="420" w:hangingChars="200"/>
              <w:rPr>
                <w:rFonts w:ascii="宋体" w:hAnsi="宋体"/>
                <w:szCs w:val="21"/>
              </w:rPr>
            </w:pPr>
            <w:r>
              <w:rPr>
                <w:rFonts w:hint="eastAsia" w:ascii="宋体" w:hAnsi="宋体"/>
                <w:szCs w:val="21"/>
              </w:rPr>
              <w:t xml:space="preserve"> 门诊患者日志可查看患者门诊传染病上报卡情况，包括包括类型、包括疾病、报卡诊断时间等，支持一件穿透查看患者档案信息</w:t>
            </w:r>
          </w:p>
          <w:p w14:paraId="581B6BFB">
            <w:pPr>
              <w:pStyle w:val="12"/>
              <w:numPr>
                <w:ilvl w:val="0"/>
                <w:numId w:val="39"/>
              </w:numPr>
              <w:ind w:left="420" w:hanging="420" w:hangingChars="200"/>
              <w:rPr>
                <w:rFonts w:ascii="宋体" w:hAnsi="宋体"/>
                <w:szCs w:val="21"/>
              </w:rPr>
            </w:pPr>
            <w:r>
              <w:rPr>
                <w:rFonts w:hint="eastAsia" w:ascii="宋体" w:hAnsi="宋体"/>
                <w:szCs w:val="21"/>
              </w:rPr>
              <w:t xml:space="preserve"> 住院患者日志可查看患者住院传染病上报卡情况，包括包括类型、包括疾病、报卡诊断时间等，支持一件穿透查看患者档案信息</w:t>
            </w:r>
          </w:p>
          <w:p w14:paraId="2F0A59EC">
            <w:pPr>
              <w:pStyle w:val="12"/>
              <w:numPr>
                <w:ilvl w:val="0"/>
                <w:numId w:val="39"/>
              </w:numPr>
              <w:ind w:left="420" w:hanging="420" w:hangingChars="200"/>
              <w:rPr>
                <w:rFonts w:ascii="宋体" w:hAnsi="宋体"/>
                <w:szCs w:val="21"/>
              </w:rPr>
            </w:pPr>
            <w:r>
              <w:rPr>
                <w:rFonts w:hint="eastAsia" w:ascii="宋体" w:hAnsi="宋体"/>
                <w:szCs w:val="21"/>
              </w:rPr>
              <w:t xml:space="preserve"> 自动生成住院患者日志，且“预警已报卡”患者、“预警未处理”患者、“预警已排除”患者、“预警待查”患者用不同颜色标注显示</w:t>
            </w:r>
          </w:p>
          <w:p w14:paraId="3B286F21">
            <w:pPr>
              <w:pStyle w:val="12"/>
              <w:numPr>
                <w:ilvl w:val="0"/>
                <w:numId w:val="39"/>
              </w:numPr>
              <w:ind w:left="420" w:hanging="420" w:hangingChars="200"/>
              <w:rPr>
                <w:rFonts w:ascii="宋体" w:hAnsi="宋体"/>
                <w:szCs w:val="21"/>
              </w:rPr>
            </w:pPr>
            <w:r>
              <w:rPr>
                <w:rFonts w:hint="eastAsia" w:ascii="宋体" w:hAnsi="宋体"/>
                <w:szCs w:val="21"/>
              </w:rPr>
              <w:t xml:space="preserve"> 支持导出住院病人日志，导出信息为查询到的病人信息及相关查询条件</w:t>
            </w:r>
          </w:p>
          <w:p w14:paraId="193C07E7">
            <w:pPr>
              <w:pStyle w:val="12"/>
              <w:numPr>
                <w:ilvl w:val="0"/>
                <w:numId w:val="39"/>
              </w:numPr>
              <w:ind w:left="420" w:hanging="420" w:hangingChars="200"/>
              <w:rPr>
                <w:rFonts w:ascii="宋体" w:hAnsi="宋体"/>
                <w:szCs w:val="21"/>
              </w:rPr>
            </w:pPr>
            <w:r>
              <w:rPr>
                <w:rFonts w:hint="eastAsia" w:ascii="宋体" w:hAnsi="宋体"/>
                <w:szCs w:val="21"/>
              </w:rPr>
              <w:t xml:space="preserve"> 导出门诊病人日志，导出信息为查询到的病人信息及相关查询条件</w:t>
            </w:r>
          </w:p>
          <w:p w14:paraId="2F07E443">
            <w:pPr>
              <w:pStyle w:val="12"/>
              <w:numPr>
                <w:ilvl w:val="0"/>
                <w:numId w:val="39"/>
              </w:numPr>
              <w:ind w:left="420" w:hanging="420" w:hangingChars="200"/>
              <w:rPr>
                <w:rFonts w:ascii="宋体" w:hAnsi="宋体"/>
                <w:szCs w:val="21"/>
              </w:rPr>
            </w:pPr>
            <w:r>
              <w:rPr>
                <w:rFonts w:hint="eastAsia" w:ascii="宋体" w:hAnsi="宋体"/>
                <w:szCs w:val="21"/>
              </w:rPr>
              <w:t xml:space="preserve"> 自动生成性病门诊和性病住院日志，主要包括患者基本信息、就诊科室、就诊原因、开具的检测项目、初步诊断、是否使用苄星青霉素或普鲁卡因等</w:t>
            </w:r>
          </w:p>
          <w:p w14:paraId="5CCCB2C8">
            <w:pPr>
              <w:pStyle w:val="12"/>
              <w:ind w:left="420" w:hanging="420" w:hangingChars="200"/>
              <w:rPr>
                <w:rFonts w:ascii="宋体" w:hAnsi="宋体"/>
                <w:szCs w:val="21"/>
              </w:rPr>
            </w:pPr>
            <w:r>
              <w:rPr>
                <w:rFonts w:hint="eastAsia"/>
              </w:rPr>
              <w:t>8.   自动生成腹泻门诊日志，包括患者基本信息、体温、腹痛腹泻次数情况、大便性状、脱水程度、临床诊断、快检或细菌培养结果、治疗情况等</w:t>
            </w:r>
          </w:p>
          <w:p w14:paraId="33F397B2">
            <w:pPr>
              <w:pStyle w:val="12"/>
              <w:ind w:left="420" w:hanging="420" w:hangingChars="200"/>
              <w:rPr>
                <w:rFonts w:ascii="宋体" w:hAnsi="宋体"/>
                <w:szCs w:val="21"/>
              </w:rPr>
            </w:pPr>
            <w:r>
              <w:rPr>
                <w:rFonts w:hint="eastAsia" w:ascii="宋体" w:hAnsi="宋体"/>
                <w:szCs w:val="21"/>
              </w:rPr>
              <w:t>9.  自动生成发热门诊日志，包括患者基本信息，就诊日期、发病日期、体温、呼吸、脉搏、血压、主要症状、流行病学接触史、X光检查结果、初步诊断、患者去向、是否预诊等</w:t>
            </w:r>
          </w:p>
          <w:p w14:paraId="230F56DE">
            <w:pPr>
              <w:pStyle w:val="12"/>
              <w:ind w:firstLine="0" w:firstLineChars="0"/>
              <w:rPr>
                <w:rFonts w:ascii="宋体" w:hAnsi="宋体"/>
                <w:szCs w:val="21"/>
              </w:rPr>
            </w:pPr>
            <w:r>
              <w:rPr>
                <w:rFonts w:hint="eastAsia" w:ascii="宋体" w:hAnsi="宋体"/>
                <w:szCs w:val="21"/>
              </w:rPr>
              <w:t>10.  提供产科门诊登记本和住院登记本</w:t>
            </w:r>
          </w:p>
          <w:p w14:paraId="1E8435E7">
            <w:pPr>
              <w:pStyle w:val="12"/>
              <w:ind w:firstLine="0" w:firstLineChars="0"/>
              <w:rPr>
                <w:rFonts w:ascii="宋体" w:hAnsi="宋体"/>
                <w:szCs w:val="21"/>
              </w:rPr>
            </w:pPr>
            <w:r>
              <w:rPr>
                <w:rFonts w:hint="eastAsia" w:ascii="宋体" w:hAnsi="宋体"/>
                <w:szCs w:val="21"/>
              </w:rPr>
              <w:t>11.  提供发热门诊血检登记本</w:t>
            </w:r>
          </w:p>
          <w:p w14:paraId="51149BAF">
            <w:pPr>
              <w:pStyle w:val="12"/>
              <w:ind w:firstLine="0" w:firstLineChars="0"/>
              <w:rPr>
                <w:rFonts w:ascii="宋体" w:hAnsi="宋体"/>
                <w:szCs w:val="21"/>
              </w:rPr>
            </w:pPr>
            <w:r>
              <w:rPr>
                <w:rFonts w:hint="eastAsia" w:ascii="宋体" w:hAnsi="宋体"/>
                <w:szCs w:val="21"/>
              </w:rPr>
              <w:t>12.  提供发热患者预检分诊功能</w:t>
            </w:r>
          </w:p>
          <w:p w14:paraId="1EA56E54">
            <w:pPr>
              <w:pStyle w:val="12"/>
              <w:ind w:firstLine="0" w:firstLineChars="0"/>
              <w:rPr>
                <w:rFonts w:ascii="宋体" w:hAnsi="宋体"/>
                <w:szCs w:val="21"/>
              </w:rPr>
            </w:pPr>
            <w:r>
              <w:rPr>
                <w:rFonts w:hint="eastAsia" w:ascii="宋体" w:hAnsi="宋体"/>
                <w:szCs w:val="21"/>
              </w:rPr>
              <w:t>13. 提供发热门诊登记本功能:可手动登记发热门诊患者信息、预检分诊时间、主要状态、流行病学史、境外接触史、体温、影像学检查、初步判断、患者处置、是否流感样病例、是否采样、样本编号、患者来源、患者离院时间等</w:t>
            </w:r>
          </w:p>
        </w:tc>
      </w:tr>
      <w:tr w14:paraId="778D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C28D8B6">
            <w:pPr>
              <w:jc w:val="center"/>
            </w:pPr>
            <w:r>
              <w:rPr>
                <w:rFonts w:hint="eastAsia"/>
              </w:rPr>
              <w:t>15</w:t>
            </w:r>
          </w:p>
        </w:tc>
        <w:tc>
          <w:tcPr>
            <w:tcW w:w="2258" w:type="dxa"/>
            <w:vAlign w:val="center"/>
          </w:tcPr>
          <w:p w14:paraId="460EC7E9">
            <w:pPr>
              <w:jc w:val="center"/>
            </w:pPr>
            <w:r>
              <w:rPr>
                <w:rFonts w:hint="eastAsia"/>
              </w:rPr>
              <w:t>漏报自查</w:t>
            </w:r>
          </w:p>
        </w:tc>
        <w:tc>
          <w:tcPr>
            <w:tcW w:w="6228" w:type="dxa"/>
          </w:tcPr>
          <w:p w14:paraId="401810FC">
            <w:pPr>
              <w:pStyle w:val="12"/>
              <w:numPr>
                <w:ilvl w:val="0"/>
                <w:numId w:val="40"/>
              </w:numPr>
              <w:ind w:firstLineChars="0"/>
              <w:rPr>
                <w:rFonts w:ascii="宋体" w:hAnsi="宋体"/>
                <w:szCs w:val="21"/>
              </w:rPr>
            </w:pPr>
            <w:r>
              <w:rPr>
                <w:rFonts w:hint="eastAsia" w:ascii="宋体" w:hAnsi="宋体"/>
                <w:szCs w:val="21"/>
              </w:rPr>
              <w:t>自动生成传染病相关检验阳性结果名单及上报情况，方便管理人员主动查漏及核实报卡是否与对应的检验阳性结果匹配</w:t>
            </w:r>
          </w:p>
          <w:p w14:paraId="76505721">
            <w:pPr>
              <w:pStyle w:val="12"/>
              <w:numPr>
                <w:ilvl w:val="0"/>
                <w:numId w:val="40"/>
              </w:numPr>
              <w:ind w:firstLineChars="0"/>
              <w:rPr>
                <w:rFonts w:ascii="宋体" w:hAnsi="宋体"/>
                <w:szCs w:val="21"/>
              </w:rPr>
            </w:pPr>
            <w:r>
              <w:rPr>
                <w:rFonts w:hint="eastAsia" w:ascii="宋体" w:hAnsi="宋体"/>
                <w:szCs w:val="21"/>
              </w:rPr>
              <w:t>自动生成传染病相关影像检查、B超检查等阳性结果名单及上报情况，方便管理人员主动查漏及核实报卡是否与对应的检查阳性结果匹配</w:t>
            </w:r>
          </w:p>
          <w:p w14:paraId="032B870D">
            <w:pPr>
              <w:pStyle w:val="12"/>
              <w:numPr>
                <w:ilvl w:val="0"/>
                <w:numId w:val="40"/>
              </w:numPr>
              <w:ind w:firstLineChars="0"/>
              <w:rPr>
                <w:rFonts w:ascii="宋体" w:hAnsi="宋体"/>
                <w:szCs w:val="21"/>
              </w:rPr>
            </w:pPr>
            <w:r>
              <w:rPr>
                <w:rFonts w:hint="eastAsia" w:ascii="宋体" w:hAnsi="宋体"/>
                <w:szCs w:val="21"/>
              </w:rPr>
              <w:t>提供全院所有检验结果档案库和检查结果档案库，并支持按多种条件查询，如时间段、患者关键字、检验/检查类型、检验/检查结果等</w:t>
            </w:r>
          </w:p>
          <w:p w14:paraId="37E8AD27">
            <w:pPr>
              <w:pStyle w:val="12"/>
              <w:numPr>
                <w:ilvl w:val="0"/>
                <w:numId w:val="40"/>
              </w:numPr>
              <w:ind w:firstLineChars="0"/>
              <w:rPr>
                <w:rFonts w:ascii="宋体" w:hAnsi="宋体"/>
                <w:szCs w:val="21"/>
              </w:rPr>
            </w:pPr>
            <w:r>
              <w:rPr>
                <w:rFonts w:hint="eastAsia" w:ascii="宋体" w:hAnsi="宋体"/>
                <w:szCs w:val="21"/>
              </w:rPr>
              <w:t>提供出院患者档案库，通过诊断维度进行传染漏报自查</w:t>
            </w:r>
          </w:p>
          <w:p w14:paraId="74478A2F">
            <w:pPr>
              <w:pStyle w:val="12"/>
              <w:numPr>
                <w:ilvl w:val="0"/>
                <w:numId w:val="40"/>
              </w:numPr>
              <w:ind w:firstLineChars="0"/>
              <w:rPr>
                <w:rFonts w:ascii="宋体" w:hAnsi="宋体"/>
                <w:szCs w:val="21"/>
              </w:rPr>
            </w:pPr>
            <w:r>
              <w:rPr>
                <w:rFonts w:hint="eastAsia" w:ascii="宋体" w:hAnsi="宋体"/>
                <w:szCs w:val="21"/>
              </w:rPr>
              <w:t>提供医院所需的各种迎检资料，包括但不限于梅毒阳性结果登记本、淋病阳性结果登记本、沙眼衣原体感染阳性结果登记本、乙肝阳性结果登记本、丙肝阳性结果登记本、法定传染病报告登记簿、伤寒及副伤寒阳性结果登记本、放射科传染病阳性结果等</w:t>
            </w:r>
          </w:p>
        </w:tc>
      </w:tr>
      <w:tr w14:paraId="1790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A8B1717">
            <w:pPr>
              <w:jc w:val="center"/>
            </w:pPr>
            <w:r>
              <w:rPr>
                <w:rFonts w:hint="eastAsia"/>
              </w:rPr>
              <w:t>16</w:t>
            </w:r>
          </w:p>
        </w:tc>
        <w:tc>
          <w:tcPr>
            <w:tcW w:w="2258" w:type="dxa"/>
            <w:vAlign w:val="center"/>
          </w:tcPr>
          <w:p w14:paraId="4501CCA9">
            <w:pPr>
              <w:jc w:val="center"/>
            </w:pPr>
            <w:r>
              <w:rPr>
                <w:rFonts w:hint="eastAsia"/>
              </w:rPr>
              <w:t>专病监测</w:t>
            </w:r>
          </w:p>
        </w:tc>
        <w:tc>
          <w:tcPr>
            <w:tcW w:w="6228" w:type="dxa"/>
          </w:tcPr>
          <w:p w14:paraId="71153A3F">
            <w:pPr>
              <w:pStyle w:val="12"/>
              <w:numPr>
                <w:ilvl w:val="0"/>
                <w:numId w:val="41"/>
              </w:numPr>
              <w:ind w:firstLineChars="0"/>
              <w:rPr>
                <w:rFonts w:ascii="宋体" w:hAnsi="宋体"/>
                <w:szCs w:val="21"/>
              </w:rPr>
            </w:pPr>
            <w:r>
              <w:rPr>
                <w:rFonts w:hint="eastAsia" w:ascii="宋体" w:hAnsi="宋体"/>
                <w:szCs w:val="21"/>
              </w:rPr>
              <w:t>流感监测：支持按国家流感监测网上报的标准进行流感样数据自动抽取并通过前置数据交换直报到国家流感监测网，也支持导出直报文件再上传到国家流感监测网</w:t>
            </w:r>
          </w:p>
          <w:p w14:paraId="56686E55">
            <w:pPr>
              <w:pStyle w:val="12"/>
              <w:numPr>
                <w:ilvl w:val="0"/>
                <w:numId w:val="41"/>
              </w:numPr>
              <w:ind w:firstLineChars="0"/>
              <w:rPr>
                <w:rFonts w:ascii="宋体" w:hAnsi="宋体"/>
                <w:szCs w:val="21"/>
              </w:rPr>
            </w:pPr>
            <w:r>
              <w:rPr>
                <w:rFonts w:hint="eastAsia" w:ascii="宋体" w:hAnsi="宋体"/>
                <w:szCs w:val="21"/>
              </w:rPr>
              <w:t>HIV相关检验检测：提供开展了HIV及梅毒相关检验项目的患者档案库</w:t>
            </w:r>
          </w:p>
          <w:p w14:paraId="7F5D9EFF">
            <w:pPr>
              <w:pStyle w:val="12"/>
              <w:numPr>
                <w:ilvl w:val="0"/>
                <w:numId w:val="41"/>
              </w:numPr>
              <w:ind w:firstLineChars="0"/>
              <w:rPr>
                <w:rFonts w:ascii="宋体" w:hAnsi="宋体"/>
                <w:szCs w:val="21"/>
              </w:rPr>
            </w:pPr>
            <w:r>
              <w:rPr>
                <w:rFonts w:hint="eastAsia" w:ascii="宋体" w:hAnsi="宋体"/>
                <w:szCs w:val="21"/>
              </w:rPr>
              <w:t>发热肺炎病例监测：支持对门诊和住院的发热病例数、呼吸系统发热病例数、发热肺炎例数、病毒性肺炎病例、细菌性肺炎病例、不明原因肺炎病例进行监测</w:t>
            </w:r>
          </w:p>
          <w:p w14:paraId="45A9A0F6">
            <w:pPr>
              <w:pStyle w:val="12"/>
              <w:numPr>
                <w:ilvl w:val="0"/>
                <w:numId w:val="41"/>
              </w:numPr>
              <w:ind w:firstLineChars="0"/>
              <w:rPr>
                <w:rFonts w:ascii="宋体" w:hAnsi="宋体"/>
                <w:szCs w:val="21"/>
              </w:rPr>
            </w:pPr>
            <w:r>
              <w:rPr>
                <w:rFonts w:hint="eastAsia" w:ascii="宋体" w:hAnsi="宋体"/>
                <w:szCs w:val="21"/>
              </w:rPr>
              <w:t>狂犬病暴露患者管理：为动物咬伤门诊提供全过程的数字化服务，包括狂犬病的暴露登记、知情同意书、疫苗接种登记管理</w:t>
            </w:r>
          </w:p>
        </w:tc>
      </w:tr>
      <w:tr w14:paraId="20DF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95AEC69">
            <w:pPr>
              <w:jc w:val="center"/>
            </w:pPr>
            <w:r>
              <w:rPr>
                <w:rFonts w:hint="eastAsia"/>
              </w:rPr>
              <w:t>17</w:t>
            </w:r>
          </w:p>
        </w:tc>
        <w:tc>
          <w:tcPr>
            <w:tcW w:w="2258" w:type="dxa"/>
            <w:vAlign w:val="center"/>
          </w:tcPr>
          <w:p w14:paraId="202C52BC">
            <w:pPr>
              <w:jc w:val="center"/>
            </w:pPr>
            <w:r>
              <w:rPr>
                <w:rFonts w:hint="eastAsia"/>
              </w:rPr>
              <w:t>统计分析</w:t>
            </w:r>
          </w:p>
        </w:tc>
        <w:tc>
          <w:tcPr>
            <w:tcW w:w="6228" w:type="dxa"/>
          </w:tcPr>
          <w:p w14:paraId="5F6EC0ED">
            <w:pPr>
              <w:pStyle w:val="12"/>
              <w:numPr>
                <w:ilvl w:val="0"/>
                <w:numId w:val="42"/>
              </w:numPr>
              <w:ind w:firstLineChars="0"/>
              <w:rPr>
                <w:rFonts w:ascii="宋体" w:hAnsi="宋体"/>
                <w:szCs w:val="21"/>
              </w:rPr>
            </w:pPr>
            <w:r>
              <w:rPr>
                <w:rFonts w:hint="eastAsia" w:ascii="宋体" w:hAnsi="宋体"/>
                <w:szCs w:val="21"/>
              </w:rPr>
              <w:t>报告统计：综合所有类型的报卡进行统计，包括①工作量统计：统计医生/科室的传染病上报、审核、删卡、退卡情况；及②同比环比统计;各类报卡分科室同比环比上报情况。</w:t>
            </w:r>
          </w:p>
          <w:p w14:paraId="36EC1AA4">
            <w:pPr>
              <w:pStyle w:val="12"/>
              <w:numPr>
                <w:ilvl w:val="0"/>
                <w:numId w:val="42"/>
              </w:numPr>
              <w:ind w:firstLineChars="0"/>
              <w:rPr>
                <w:rFonts w:ascii="宋体" w:hAnsi="宋体"/>
                <w:szCs w:val="21"/>
              </w:rPr>
            </w:pPr>
            <w:r>
              <w:rPr>
                <w:rFonts w:hint="eastAsia" w:ascii="宋体" w:hAnsi="宋体"/>
                <w:szCs w:val="21"/>
              </w:rPr>
              <w:t>迟报漏报统计：提供传染病迟报、漏报统计分析，可按科室维护进行查询</w:t>
            </w:r>
          </w:p>
          <w:p w14:paraId="1AC6D78D">
            <w:pPr>
              <w:pStyle w:val="12"/>
              <w:numPr>
                <w:ilvl w:val="0"/>
                <w:numId w:val="42"/>
              </w:numPr>
              <w:ind w:firstLineChars="0"/>
              <w:rPr>
                <w:rFonts w:ascii="宋体" w:hAnsi="宋体"/>
                <w:szCs w:val="21"/>
              </w:rPr>
            </w:pPr>
            <w:r>
              <w:rPr>
                <w:rFonts w:hint="eastAsia" w:ascii="宋体" w:hAnsi="宋体"/>
                <w:szCs w:val="21"/>
              </w:rPr>
              <w:t>病种分布统计：提供传染病病种分布统计功能，可按科室统计不同传染病的报告情况</w:t>
            </w:r>
          </w:p>
          <w:p w14:paraId="59480B1F">
            <w:pPr>
              <w:pStyle w:val="12"/>
              <w:numPr>
                <w:ilvl w:val="0"/>
                <w:numId w:val="42"/>
              </w:numPr>
              <w:ind w:firstLineChars="0"/>
              <w:rPr>
                <w:rFonts w:ascii="宋体" w:hAnsi="宋体"/>
                <w:szCs w:val="21"/>
              </w:rPr>
            </w:pPr>
            <w:r>
              <w:rPr>
                <w:rFonts w:hint="eastAsia" w:ascii="宋体" w:hAnsi="宋体"/>
                <w:szCs w:val="21"/>
              </w:rPr>
              <w:t>人群分布统计：支持按不同年龄、性别以及职业的维度统计传染病报告数量</w:t>
            </w:r>
          </w:p>
          <w:p w14:paraId="3BDF885E">
            <w:pPr>
              <w:pStyle w:val="12"/>
              <w:numPr>
                <w:ilvl w:val="0"/>
                <w:numId w:val="42"/>
              </w:numPr>
              <w:ind w:firstLineChars="0"/>
              <w:rPr>
                <w:rFonts w:ascii="宋体" w:hAnsi="宋体"/>
                <w:szCs w:val="21"/>
              </w:rPr>
            </w:pPr>
            <w:r>
              <w:rPr>
                <w:rFonts w:hint="eastAsia" w:ascii="宋体" w:hAnsi="宋体"/>
                <w:szCs w:val="21"/>
              </w:rPr>
              <w:t>地区分布统计：支持按本县区、本市其他县区、本省其他市、其他省等维度统计传染病报告情况，支持按月份维度进行展示，支持按疾病进行查询</w:t>
            </w:r>
          </w:p>
          <w:p w14:paraId="097F4B67">
            <w:pPr>
              <w:pStyle w:val="12"/>
              <w:numPr>
                <w:ilvl w:val="0"/>
                <w:numId w:val="42"/>
              </w:numPr>
              <w:ind w:firstLineChars="0"/>
              <w:rPr>
                <w:rFonts w:ascii="宋体" w:hAnsi="宋体"/>
                <w:szCs w:val="21"/>
              </w:rPr>
            </w:pPr>
            <w:r>
              <w:rPr>
                <w:rFonts w:hint="eastAsia" w:ascii="宋体" w:hAnsi="宋体"/>
                <w:szCs w:val="21"/>
              </w:rPr>
              <w:t>传播途径：支持按传播途径维度对报告传染病数量进行统计</w:t>
            </w:r>
          </w:p>
          <w:p w14:paraId="737C6C4E">
            <w:pPr>
              <w:pStyle w:val="12"/>
              <w:numPr>
                <w:ilvl w:val="0"/>
                <w:numId w:val="42"/>
              </w:numPr>
              <w:ind w:firstLineChars="0"/>
              <w:rPr>
                <w:rFonts w:ascii="宋体" w:hAnsi="宋体"/>
                <w:szCs w:val="21"/>
              </w:rPr>
            </w:pPr>
            <w:r>
              <w:rPr>
                <w:rFonts w:hint="eastAsia" w:ascii="宋体" w:hAnsi="宋体"/>
                <w:szCs w:val="21"/>
              </w:rPr>
              <w:t>提供发热肺炎相关、流感相关、性病相关统计</w:t>
            </w:r>
          </w:p>
          <w:p w14:paraId="0753EDE4">
            <w:pPr>
              <w:pStyle w:val="12"/>
              <w:numPr>
                <w:ilvl w:val="0"/>
                <w:numId w:val="42"/>
              </w:numPr>
              <w:ind w:firstLineChars="0"/>
              <w:rPr>
                <w:rFonts w:ascii="宋体" w:hAnsi="宋体"/>
                <w:szCs w:val="21"/>
              </w:rPr>
            </w:pPr>
            <w:r>
              <w:rPr>
                <w:rFonts w:hint="eastAsia" w:ascii="宋体" w:hAnsi="宋体"/>
                <w:szCs w:val="21"/>
              </w:rPr>
              <w:t>慢病分析：对35岁及以上异常血压血糖患者进行统计，可细化年龄段进行分析，比如35-45、45-55、55-65、65及以上，且提供报表对应的多维度的趋势图。</w:t>
            </w:r>
          </w:p>
          <w:p w14:paraId="39D9F98D">
            <w:pPr>
              <w:pStyle w:val="12"/>
              <w:numPr>
                <w:ilvl w:val="0"/>
                <w:numId w:val="42"/>
              </w:numPr>
              <w:ind w:firstLineChars="0"/>
              <w:rPr>
                <w:rFonts w:ascii="宋体" w:hAnsi="宋体"/>
                <w:szCs w:val="21"/>
              </w:rPr>
            </w:pPr>
            <w:r>
              <w:rPr>
                <w:rFonts w:hint="eastAsia" w:ascii="宋体" w:hAnsi="宋体"/>
                <w:szCs w:val="21"/>
              </w:rPr>
              <w:t>死亡分析：死亡报卡统计、死亡报卡打印统计、5岁以下儿童、围产儿死亡统计、育龄妇女死亡统计等</w:t>
            </w:r>
          </w:p>
          <w:p w14:paraId="7A477920">
            <w:pPr>
              <w:pStyle w:val="12"/>
              <w:numPr>
                <w:ilvl w:val="0"/>
                <w:numId w:val="42"/>
              </w:numPr>
              <w:ind w:firstLineChars="0"/>
              <w:rPr>
                <w:rFonts w:ascii="宋体" w:hAnsi="宋体"/>
                <w:szCs w:val="21"/>
              </w:rPr>
            </w:pPr>
            <w:r>
              <w:rPr>
                <w:rFonts w:hint="eastAsia" w:ascii="宋体" w:hAnsi="宋体"/>
                <w:szCs w:val="21"/>
              </w:rPr>
              <w:t>其他统计：狂犬病免疫球蛋白接种统计、伤害监测漏报统计、死亡监测未报卡统计等</w:t>
            </w:r>
          </w:p>
          <w:p w14:paraId="22FEB7D7">
            <w:pPr>
              <w:pStyle w:val="12"/>
              <w:numPr>
                <w:ilvl w:val="0"/>
                <w:numId w:val="42"/>
              </w:numPr>
              <w:ind w:firstLineChars="0"/>
              <w:rPr>
                <w:rFonts w:ascii="宋体" w:hAnsi="宋体"/>
                <w:szCs w:val="21"/>
              </w:rPr>
            </w:pPr>
            <w:r>
              <w:rPr>
                <w:rFonts w:hint="eastAsia" w:ascii="宋体" w:hAnsi="宋体"/>
                <w:szCs w:val="21"/>
              </w:rPr>
              <w:t>支持按照医院需求自定义报表</w:t>
            </w:r>
          </w:p>
        </w:tc>
      </w:tr>
      <w:tr w14:paraId="6FBD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563B452">
            <w:pPr>
              <w:jc w:val="center"/>
            </w:pPr>
            <w:r>
              <w:rPr>
                <w:rFonts w:hint="eastAsia"/>
              </w:rPr>
              <w:t>18</w:t>
            </w:r>
          </w:p>
        </w:tc>
        <w:tc>
          <w:tcPr>
            <w:tcW w:w="2258" w:type="dxa"/>
            <w:vAlign w:val="center"/>
          </w:tcPr>
          <w:p w14:paraId="4D09714D">
            <w:pPr>
              <w:jc w:val="center"/>
            </w:pPr>
            <w:r>
              <w:rPr>
                <w:rFonts w:hint="eastAsia"/>
              </w:rPr>
              <w:t>疫情简报</w:t>
            </w:r>
          </w:p>
        </w:tc>
        <w:tc>
          <w:tcPr>
            <w:tcW w:w="6228" w:type="dxa"/>
          </w:tcPr>
          <w:p w14:paraId="7E4C63B2">
            <w:pPr>
              <w:pStyle w:val="12"/>
              <w:numPr>
                <w:ilvl w:val="0"/>
                <w:numId w:val="43"/>
              </w:numPr>
              <w:ind w:firstLineChars="0"/>
              <w:rPr>
                <w:rFonts w:ascii="宋体" w:hAnsi="宋体"/>
                <w:szCs w:val="21"/>
              </w:rPr>
            </w:pPr>
            <w:r>
              <w:rPr>
                <w:rFonts w:hint="eastAsia" w:ascii="宋体" w:hAnsi="宋体"/>
                <w:szCs w:val="21"/>
              </w:rPr>
              <w:t>提供月度年度疫情报告，所有数据自动生成</w:t>
            </w:r>
          </w:p>
          <w:p w14:paraId="5399A3DE">
            <w:pPr>
              <w:pStyle w:val="12"/>
              <w:numPr>
                <w:ilvl w:val="0"/>
                <w:numId w:val="43"/>
              </w:numPr>
              <w:ind w:firstLineChars="0"/>
              <w:rPr>
                <w:rFonts w:ascii="宋体" w:hAnsi="宋体"/>
                <w:szCs w:val="21"/>
              </w:rPr>
            </w:pPr>
            <w:r>
              <w:rPr>
                <w:rFonts w:hint="eastAsia" w:ascii="宋体" w:hAnsi="宋体"/>
                <w:szCs w:val="21"/>
              </w:rPr>
              <w:t>简报展示内容丰富多样，包括文字、柱状图、表格、饼状图等各种展示方式，支持图文结合方式展示</w:t>
            </w:r>
          </w:p>
          <w:p w14:paraId="48304D65">
            <w:pPr>
              <w:pStyle w:val="12"/>
              <w:numPr>
                <w:ilvl w:val="0"/>
                <w:numId w:val="43"/>
              </w:numPr>
              <w:ind w:firstLineChars="0"/>
              <w:rPr>
                <w:rFonts w:ascii="宋体" w:hAnsi="宋体"/>
                <w:szCs w:val="21"/>
              </w:rPr>
            </w:pPr>
            <w:r>
              <w:rPr>
                <w:rFonts w:hint="eastAsia" w:ascii="宋体" w:hAnsi="宋体"/>
                <w:szCs w:val="21"/>
              </w:rPr>
              <w:t>支持对数据进行同比/环比展示，方便管理人员进一步了解疫情发展情况</w:t>
            </w:r>
          </w:p>
          <w:p w14:paraId="0015FC0E">
            <w:pPr>
              <w:pStyle w:val="12"/>
              <w:numPr>
                <w:ilvl w:val="0"/>
                <w:numId w:val="43"/>
              </w:numPr>
              <w:ind w:firstLineChars="0"/>
              <w:rPr>
                <w:rFonts w:ascii="宋体" w:hAnsi="宋体"/>
                <w:szCs w:val="21"/>
              </w:rPr>
            </w:pPr>
            <w:r>
              <w:rPr>
                <w:rFonts w:hint="eastAsia" w:ascii="宋体" w:hAnsi="宋体"/>
                <w:szCs w:val="21"/>
              </w:rPr>
              <w:t>支持报告导出word\pdf等格式</w:t>
            </w:r>
          </w:p>
          <w:p w14:paraId="667348D3">
            <w:pPr>
              <w:pStyle w:val="12"/>
              <w:numPr>
                <w:ilvl w:val="0"/>
                <w:numId w:val="43"/>
              </w:numPr>
              <w:ind w:firstLineChars="0"/>
              <w:rPr>
                <w:rFonts w:ascii="宋体" w:hAnsi="宋体"/>
                <w:szCs w:val="21"/>
              </w:rPr>
            </w:pPr>
            <w:r>
              <w:rPr>
                <w:rFonts w:hint="eastAsia" w:ascii="宋体" w:hAnsi="宋体"/>
                <w:szCs w:val="21"/>
              </w:rPr>
              <w:t>支持个性化设置模板</w:t>
            </w:r>
          </w:p>
        </w:tc>
      </w:tr>
      <w:tr w14:paraId="1E36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5C749688">
            <w:pPr>
              <w:jc w:val="center"/>
            </w:pPr>
            <w:r>
              <w:rPr>
                <w:rFonts w:hint="eastAsia"/>
              </w:rPr>
              <w:t>19</w:t>
            </w:r>
          </w:p>
        </w:tc>
        <w:tc>
          <w:tcPr>
            <w:tcW w:w="2258" w:type="dxa"/>
            <w:vAlign w:val="center"/>
          </w:tcPr>
          <w:p w14:paraId="7FBFD45E">
            <w:pPr>
              <w:jc w:val="center"/>
            </w:pPr>
            <w:r>
              <w:rPr>
                <w:rFonts w:hint="eastAsia"/>
              </w:rPr>
              <w:t>区域上报趋势地图</w:t>
            </w:r>
          </w:p>
        </w:tc>
        <w:tc>
          <w:tcPr>
            <w:tcW w:w="6228" w:type="dxa"/>
          </w:tcPr>
          <w:p w14:paraId="7D4308BD">
            <w:pPr>
              <w:pStyle w:val="12"/>
              <w:numPr>
                <w:ilvl w:val="0"/>
                <w:numId w:val="44"/>
              </w:numPr>
              <w:ind w:firstLineChars="0"/>
              <w:rPr>
                <w:rFonts w:ascii="宋体" w:hAnsi="宋体"/>
                <w:szCs w:val="21"/>
              </w:rPr>
            </w:pPr>
            <w:r>
              <w:rPr>
                <w:rFonts w:hint="eastAsia" w:ascii="宋体" w:hAnsi="宋体"/>
                <w:szCs w:val="21"/>
              </w:rPr>
              <w:t>提供与医疗机构行政级别对应的省市区县地图展示各类型报卡的地域分布情况，且用不同的颜色标记不同区段的数量</w:t>
            </w:r>
          </w:p>
          <w:p w14:paraId="0FB33EC3">
            <w:pPr>
              <w:pStyle w:val="12"/>
              <w:numPr>
                <w:ilvl w:val="0"/>
                <w:numId w:val="44"/>
              </w:numPr>
              <w:ind w:firstLineChars="0"/>
              <w:rPr>
                <w:rFonts w:ascii="宋体" w:hAnsi="宋体"/>
                <w:szCs w:val="21"/>
              </w:rPr>
            </w:pPr>
            <w:r>
              <w:rPr>
                <w:rFonts w:hint="eastAsia" w:ascii="宋体" w:hAnsi="宋体"/>
                <w:szCs w:val="21"/>
              </w:rPr>
              <w:t>针对传染病类型的报卡，提供具体疾病的区域分布地图</w:t>
            </w:r>
          </w:p>
          <w:p w14:paraId="6A7B7B4E">
            <w:pPr>
              <w:pStyle w:val="12"/>
              <w:numPr>
                <w:ilvl w:val="0"/>
                <w:numId w:val="44"/>
              </w:numPr>
              <w:ind w:firstLineChars="0"/>
              <w:rPr>
                <w:rFonts w:ascii="宋体" w:hAnsi="宋体"/>
                <w:szCs w:val="21"/>
              </w:rPr>
            </w:pPr>
            <w:r>
              <w:rPr>
                <w:rFonts w:hint="eastAsia" w:ascii="宋体" w:hAnsi="宋体"/>
                <w:szCs w:val="21"/>
              </w:rPr>
              <w:t>图表结合：提供与地图数据对应的完整报表，含常规数量统计和占比</w:t>
            </w:r>
          </w:p>
        </w:tc>
      </w:tr>
      <w:tr w14:paraId="0A23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497BE5A">
            <w:pPr>
              <w:jc w:val="center"/>
            </w:pPr>
            <w:r>
              <w:rPr>
                <w:rFonts w:hint="eastAsia"/>
              </w:rPr>
              <w:t>20</w:t>
            </w:r>
          </w:p>
        </w:tc>
        <w:tc>
          <w:tcPr>
            <w:tcW w:w="2258" w:type="dxa"/>
            <w:vAlign w:val="center"/>
          </w:tcPr>
          <w:p w14:paraId="6C6E5783">
            <w:pPr>
              <w:jc w:val="center"/>
            </w:pPr>
            <w:r>
              <w:rPr>
                <w:rFonts w:hint="eastAsia"/>
              </w:rPr>
              <w:t>质控管理</w:t>
            </w:r>
          </w:p>
        </w:tc>
        <w:tc>
          <w:tcPr>
            <w:tcW w:w="6228" w:type="dxa"/>
          </w:tcPr>
          <w:p w14:paraId="60202E1B">
            <w:pPr>
              <w:pStyle w:val="12"/>
              <w:numPr>
                <w:ilvl w:val="0"/>
                <w:numId w:val="45"/>
              </w:numPr>
              <w:ind w:firstLineChars="0"/>
              <w:rPr>
                <w:rFonts w:ascii="宋体" w:hAnsi="宋体"/>
                <w:szCs w:val="21"/>
              </w:rPr>
            </w:pPr>
            <w:r>
              <w:rPr>
                <w:rFonts w:hint="eastAsia" w:ascii="宋体" w:hAnsi="宋体"/>
                <w:szCs w:val="21"/>
              </w:rPr>
              <w:t>支持对不合格卡的不合格原因进行追溯管理</w:t>
            </w:r>
          </w:p>
          <w:p w14:paraId="4D95A2D7">
            <w:pPr>
              <w:pStyle w:val="12"/>
              <w:numPr>
                <w:ilvl w:val="0"/>
                <w:numId w:val="45"/>
              </w:numPr>
              <w:ind w:firstLineChars="0"/>
              <w:rPr>
                <w:rFonts w:ascii="宋体" w:hAnsi="宋体"/>
                <w:szCs w:val="21"/>
              </w:rPr>
            </w:pPr>
            <w:r>
              <w:rPr>
                <w:rFonts w:hint="eastAsia" w:ascii="宋体" w:hAnsi="宋体"/>
                <w:szCs w:val="21"/>
              </w:rPr>
              <w:t>支持对门诊及住院日志质量进行考评管理</w:t>
            </w:r>
          </w:p>
          <w:p w14:paraId="0094F491">
            <w:pPr>
              <w:pStyle w:val="12"/>
              <w:numPr>
                <w:ilvl w:val="0"/>
                <w:numId w:val="45"/>
              </w:numPr>
              <w:ind w:firstLineChars="0"/>
              <w:rPr>
                <w:rFonts w:ascii="宋体" w:hAnsi="宋体"/>
                <w:szCs w:val="21"/>
              </w:rPr>
            </w:pPr>
            <w:r>
              <w:rPr>
                <w:rFonts w:hint="eastAsia" w:ascii="宋体" w:hAnsi="宋体"/>
                <w:szCs w:val="21"/>
              </w:rPr>
              <w:t>支持对传染病报告的及时性、完整性、准确性进行考评管理</w:t>
            </w:r>
          </w:p>
          <w:p w14:paraId="6D7705B6">
            <w:pPr>
              <w:pStyle w:val="12"/>
              <w:numPr>
                <w:ilvl w:val="0"/>
                <w:numId w:val="45"/>
              </w:numPr>
              <w:ind w:firstLineChars="0"/>
              <w:rPr>
                <w:rFonts w:ascii="宋体" w:hAnsi="宋体"/>
                <w:szCs w:val="21"/>
              </w:rPr>
            </w:pPr>
            <w:r>
              <w:rPr>
                <w:rFonts w:hint="eastAsia" w:ascii="宋体" w:hAnsi="宋体"/>
                <w:szCs w:val="21"/>
              </w:rPr>
              <w:t>支持对传染病报卡的迟报漏报情况进行监测</w:t>
            </w:r>
          </w:p>
        </w:tc>
      </w:tr>
      <w:tr w14:paraId="2D81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2" w:type="dxa"/>
            <w:vMerge w:val="restart"/>
            <w:vAlign w:val="center"/>
          </w:tcPr>
          <w:p w14:paraId="7D28FA2E">
            <w:pPr>
              <w:pStyle w:val="6"/>
              <w:ind w:left="0" w:leftChars="0" w:firstLine="0" w:firstLineChars="0"/>
              <w:jc w:val="center"/>
            </w:pPr>
            <w:r>
              <w:rPr>
                <w:rFonts w:hint="eastAsia"/>
              </w:rPr>
              <w:t>21（报卡类型）</w:t>
            </w:r>
          </w:p>
        </w:tc>
        <w:tc>
          <w:tcPr>
            <w:tcW w:w="2258" w:type="dxa"/>
            <w:vAlign w:val="center"/>
          </w:tcPr>
          <w:p w14:paraId="2812B8CA">
            <w:pPr>
              <w:pStyle w:val="6"/>
              <w:ind w:left="0" w:leftChars="0" w:firstLine="0" w:firstLineChars="0"/>
              <w:jc w:val="center"/>
            </w:pPr>
            <w:r>
              <w:rPr>
                <w:rFonts w:hint="eastAsia"/>
              </w:rPr>
              <w:t>传染病类</w:t>
            </w:r>
          </w:p>
        </w:tc>
        <w:tc>
          <w:tcPr>
            <w:tcW w:w="6228" w:type="dxa"/>
          </w:tcPr>
          <w:p w14:paraId="7147DD72">
            <w:pPr>
              <w:pStyle w:val="12"/>
              <w:numPr>
                <w:ilvl w:val="0"/>
                <w:numId w:val="46"/>
              </w:numPr>
              <w:ind w:firstLineChars="0"/>
            </w:pPr>
            <w:r>
              <w:rPr>
                <w:rFonts w:hint="eastAsia"/>
              </w:rPr>
              <w:t>传染病报告卡（含军区传染病报告卡）</w:t>
            </w:r>
          </w:p>
          <w:p w14:paraId="6D0743DD">
            <w:pPr>
              <w:pStyle w:val="12"/>
              <w:numPr>
                <w:ilvl w:val="0"/>
                <w:numId w:val="46"/>
              </w:numPr>
              <w:ind w:firstLineChars="0"/>
            </w:pPr>
            <w:r>
              <w:rPr>
                <w:rFonts w:hint="eastAsia"/>
              </w:rPr>
              <w:t>发热门诊登记卡</w:t>
            </w:r>
          </w:p>
          <w:p w14:paraId="4AC37364">
            <w:pPr>
              <w:pStyle w:val="12"/>
              <w:numPr>
                <w:ilvl w:val="0"/>
                <w:numId w:val="46"/>
              </w:numPr>
              <w:ind w:firstLineChars="0"/>
            </w:pPr>
            <w:r>
              <w:rPr>
                <w:rFonts w:hint="eastAsia"/>
              </w:rPr>
              <w:t>流感监测上报卡</w:t>
            </w:r>
          </w:p>
          <w:p w14:paraId="472E91C7">
            <w:pPr>
              <w:pStyle w:val="12"/>
              <w:numPr>
                <w:ilvl w:val="0"/>
                <w:numId w:val="46"/>
              </w:numPr>
              <w:ind w:firstLineChars="0"/>
            </w:pPr>
            <w:r>
              <w:rPr>
                <w:rFonts w:hint="eastAsia"/>
              </w:rPr>
              <w:t>法定住院严重急性呼吸道感染病例报告卡</w:t>
            </w:r>
          </w:p>
          <w:p w14:paraId="609B5FF3">
            <w:pPr>
              <w:pStyle w:val="12"/>
              <w:numPr>
                <w:ilvl w:val="0"/>
                <w:numId w:val="46"/>
              </w:numPr>
              <w:ind w:firstLineChars="0"/>
            </w:pPr>
            <w:r>
              <w:rPr>
                <w:rFonts w:hint="eastAsia"/>
              </w:rPr>
              <w:t>HIV</w:t>
            </w:r>
            <w:r>
              <w:t>自愿咨询检测咨询个案登记表</w:t>
            </w:r>
          </w:p>
          <w:p w14:paraId="43BCD341">
            <w:pPr>
              <w:pStyle w:val="12"/>
              <w:numPr>
                <w:ilvl w:val="0"/>
                <w:numId w:val="46"/>
              </w:numPr>
              <w:ind w:firstLineChars="0"/>
              <w:rPr>
                <w:rFonts w:ascii="宋体" w:hAnsi="宋体"/>
                <w:szCs w:val="21"/>
              </w:rPr>
            </w:pPr>
            <w:r>
              <w:rPr>
                <w:rFonts w:hint="eastAsia" w:ascii="宋体" w:hAnsi="宋体"/>
                <w:szCs w:val="21"/>
              </w:rPr>
              <w:t>丙肝抗体阳性病例个案调查表</w:t>
            </w:r>
          </w:p>
          <w:p w14:paraId="3E01469F">
            <w:pPr>
              <w:pStyle w:val="12"/>
              <w:numPr>
                <w:ilvl w:val="0"/>
                <w:numId w:val="46"/>
              </w:numPr>
              <w:ind w:firstLineChars="0"/>
              <w:rPr>
                <w:rFonts w:ascii="宋体" w:hAnsi="宋体"/>
                <w:szCs w:val="21"/>
              </w:rPr>
            </w:pPr>
            <w:r>
              <w:rPr>
                <w:rFonts w:hint="eastAsia" w:ascii="宋体" w:hAnsi="宋体"/>
                <w:szCs w:val="21"/>
              </w:rPr>
              <w:t>丙肝抗病毒治疗随访表</w:t>
            </w:r>
          </w:p>
          <w:p w14:paraId="51FF0BB7">
            <w:pPr>
              <w:pStyle w:val="12"/>
              <w:numPr>
                <w:ilvl w:val="0"/>
                <w:numId w:val="46"/>
              </w:numPr>
              <w:ind w:firstLineChars="0"/>
              <w:rPr>
                <w:rFonts w:ascii="宋体" w:hAnsi="宋体"/>
                <w:szCs w:val="21"/>
              </w:rPr>
            </w:pPr>
            <w:r>
              <w:rPr>
                <w:rFonts w:hint="eastAsia" w:ascii="宋体" w:hAnsi="宋体"/>
                <w:szCs w:val="21"/>
              </w:rPr>
              <w:t>丙肝抗病毒治疗基本情况表</w:t>
            </w:r>
            <w:r>
              <w:rPr>
                <w:rFonts w:hint="eastAsia" w:ascii="宋体" w:hAnsi="宋体"/>
                <w:szCs w:val="21"/>
              </w:rPr>
              <w:tab/>
            </w:r>
          </w:p>
          <w:p w14:paraId="40715009">
            <w:pPr>
              <w:pStyle w:val="12"/>
              <w:numPr>
                <w:ilvl w:val="0"/>
                <w:numId w:val="46"/>
              </w:numPr>
              <w:ind w:firstLineChars="0"/>
              <w:rPr>
                <w:rFonts w:ascii="宋体" w:hAnsi="宋体"/>
                <w:szCs w:val="21"/>
              </w:rPr>
            </w:pPr>
            <w:r>
              <w:rPr>
                <w:rFonts w:hint="eastAsia" w:ascii="宋体" w:hAnsi="宋体"/>
                <w:szCs w:val="21"/>
              </w:rPr>
              <w:t>丙肝病例追踪表</w:t>
            </w:r>
          </w:p>
          <w:p w14:paraId="561839F7">
            <w:pPr>
              <w:pStyle w:val="12"/>
              <w:numPr>
                <w:ilvl w:val="0"/>
                <w:numId w:val="46"/>
              </w:numPr>
              <w:ind w:firstLineChars="0"/>
              <w:rPr>
                <w:rFonts w:ascii="宋体" w:hAnsi="宋体"/>
                <w:szCs w:val="21"/>
              </w:rPr>
            </w:pPr>
            <w:r>
              <w:rPr>
                <w:rFonts w:hint="eastAsia" w:ascii="宋体" w:hAnsi="宋体"/>
                <w:szCs w:val="21"/>
              </w:rPr>
              <w:t>I、II期梅毒患者信息收集表</w:t>
            </w:r>
            <w:r>
              <w:rPr>
                <w:rFonts w:hint="eastAsia" w:ascii="宋体" w:hAnsi="宋体"/>
                <w:szCs w:val="21"/>
              </w:rPr>
              <w:tab/>
            </w:r>
          </w:p>
          <w:p w14:paraId="7A74AA9E">
            <w:pPr>
              <w:pStyle w:val="12"/>
              <w:numPr>
                <w:ilvl w:val="0"/>
                <w:numId w:val="46"/>
              </w:numPr>
              <w:ind w:firstLineChars="0"/>
              <w:rPr>
                <w:rFonts w:ascii="宋体" w:hAnsi="宋体"/>
                <w:szCs w:val="21"/>
              </w:rPr>
            </w:pPr>
            <w:r>
              <w:rPr>
                <w:rFonts w:hint="eastAsia" w:ascii="宋体" w:hAnsi="宋体"/>
                <w:szCs w:val="21"/>
              </w:rPr>
              <w:t>流感样病例标本原始登记送检表</w:t>
            </w:r>
          </w:p>
          <w:p w14:paraId="68C27332">
            <w:pPr>
              <w:pStyle w:val="12"/>
              <w:numPr>
                <w:ilvl w:val="0"/>
                <w:numId w:val="46"/>
              </w:numPr>
              <w:ind w:firstLineChars="0"/>
              <w:rPr>
                <w:rFonts w:ascii="宋体" w:hAnsi="宋体"/>
                <w:szCs w:val="21"/>
              </w:rPr>
            </w:pPr>
            <w:r>
              <w:rPr>
                <w:rFonts w:hint="eastAsia" w:ascii="宋体" w:hAnsi="宋体"/>
                <w:szCs w:val="21"/>
              </w:rPr>
              <w:t>流感样病例</w:t>
            </w:r>
          </w:p>
          <w:p w14:paraId="06CA327D">
            <w:pPr>
              <w:pStyle w:val="12"/>
              <w:numPr>
                <w:ilvl w:val="0"/>
                <w:numId w:val="46"/>
              </w:numPr>
              <w:ind w:firstLineChars="0"/>
            </w:pPr>
            <w:r>
              <w:t>新冠初筛报告卡</w:t>
            </w:r>
          </w:p>
          <w:p w14:paraId="15FF996A">
            <w:pPr>
              <w:pStyle w:val="12"/>
              <w:numPr>
                <w:ilvl w:val="0"/>
                <w:numId w:val="46"/>
              </w:numPr>
              <w:ind w:firstLineChars="0"/>
            </w:pPr>
            <w:r>
              <w:t>核酸检测阳性人员信息填报卡</w:t>
            </w:r>
          </w:p>
          <w:p w14:paraId="09AD2D3C">
            <w:pPr>
              <w:pStyle w:val="12"/>
              <w:numPr>
                <w:ilvl w:val="0"/>
                <w:numId w:val="46"/>
              </w:numPr>
              <w:ind w:firstLineChars="0"/>
              <w:rPr>
                <w:rFonts w:ascii="宋体" w:hAnsi="宋体"/>
                <w:szCs w:val="21"/>
              </w:rPr>
            </w:pPr>
            <w:r>
              <w:rPr>
                <w:rFonts w:hint="eastAsia" w:ascii="宋体" w:hAnsi="宋体"/>
                <w:szCs w:val="21"/>
              </w:rPr>
              <w:t>淋病患者信息收集表</w:t>
            </w:r>
          </w:p>
          <w:p w14:paraId="53AD1357">
            <w:pPr>
              <w:pStyle w:val="12"/>
              <w:numPr>
                <w:ilvl w:val="0"/>
                <w:numId w:val="46"/>
              </w:numPr>
              <w:ind w:firstLineChars="0"/>
              <w:rPr>
                <w:rFonts w:ascii="宋体" w:hAnsi="宋体"/>
                <w:szCs w:val="21"/>
              </w:rPr>
            </w:pPr>
            <w:r>
              <w:rPr>
                <w:rFonts w:hint="eastAsia" w:ascii="宋体" w:hAnsi="宋体"/>
                <w:szCs w:val="21"/>
              </w:rPr>
              <w:t>性病治疗和随访个案表</w:t>
            </w:r>
          </w:p>
          <w:p w14:paraId="31CBC174">
            <w:pPr>
              <w:pStyle w:val="12"/>
              <w:numPr>
                <w:ilvl w:val="0"/>
                <w:numId w:val="46"/>
              </w:numPr>
              <w:ind w:firstLineChars="0"/>
            </w:pPr>
            <w:r>
              <w:rPr>
                <w:rFonts w:hint="eastAsia" w:ascii="宋体" w:hAnsi="宋体"/>
                <w:szCs w:val="21"/>
              </w:rPr>
              <w:t>患者传染病疫情报告个案表</w:t>
            </w:r>
          </w:p>
          <w:p w14:paraId="70C9589A">
            <w:pPr>
              <w:pStyle w:val="12"/>
              <w:numPr>
                <w:ilvl w:val="0"/>
                <w:numId w:val="46"/>
              </w:numPr>
              <w:ind w:firstLineChars="0"/>
            </w:pPr>
            <w:r>
              <w:rPr>
                <w:rFonts w:hint="eastAsia"/>
              </w:rPr>
              <w:t>新冠重症和死亡病例调查表</w:t>
            </w:r>
          </w:p>
          <w:p w14:paraId="77590780">
            <w:pPr>
              <w:pStyle w:val="12"/>
              <w:numPr>
                <w:ilvl w:val="0"/>
                <w:numId w:val="46"/>
              </w:numPr>
              <w:ind w:firstLineChars="0"/>
            </w:pPr>
            <w:r>
              <w:rPr>
                <w:rFonts w:hint="eastAsia"/>
              </w:rPr>
              <w:t>VCT检测咨询个案登记表</w:t>
            </w:r>
          </w:p>
        </w:tc>
      </w:tr>
      <w:tr w14:paraId="59C2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2" w:type="dxa"/>
            <w:vMerge w:val="continue"/>
            <w:vAlign w:val="center"/>
          </w:tcPr>
          <w:p w14:paraId="62065F6F">
            <w:pPr>
              <w:pStyle w:val="6"/>
              <w:ind w:left="0" w:leftChars="0" w:firstLine="0" w:firstLineChars="0"/>
              <w:jc w:val="center"/>
            </w:pPr>
          </w:p>
        </w:tc>
        <w:tc>
          <w:tcPr>
            <w:tcW w:w="2258" w:type="dxa"/>
            <w:vAlign w:val="center"/>
          </w:tcPr>
          <w:p w14:paraId="29880589">
            <w:pPr>
              <w:pStyle w:val="6"/>
              <w:ind w:left="0" w:leftChars="0" w:firstLine="0" w:firstLineChars="0"/>
              <w:jc w:val="center"/>
            </w:pPr>
            <w:r>
              <w:rPr>
                <w:rFonts w:hint="eastAsia"/>
              </w:rPr>
              <w:t>慢病类</w:t>
            </w:r>
          </w:p>
        </w:tc>
        <w:tc>
          <w:tcPr>
            <w:tcW w:w="6228" w:type="dxa"/>
          </w:tcPr>
          <w:p w14:paraId="624914EF">
            <w:pPr>
              <w:pStyle w:val="12"/>
              <w:numPr>
                <w:ilvl w:val="0"/>
                <w:numId w:val="47"/>
              </w:numPr>
              <w:ind w:firstLineChars="0"/>
            </w:pPr>
            <w:r>
              <w:rPr>
                <w:rFonts w:hint="eastAsia"/>
              </w:rPr>
              <w:t>肿瘤病例报告卡</w:t>
            </w:r>
          </w:p>
          <w:p w14:paraId="28B50F8F">
            <w:pPr>
              <w:pStyle w:val="12"/>
              <w:numPr>
                <w:ilvl w:val="0"/>
                <w:numId w:val="47"/>
              </w:numPr>
              <w:ind w:firstLineChars="0"/>
            </w:pPr>
            <w:r>
              <w:rPr>
                <w:rFonts w:hint="eastAsia"/>
              </w:rPr>
              <w:t>糖尿病</w:t>
            </w:r>
            <w:r>
              <w:t>病例报卡</w:t>
            </w:r>
          </w:p>
          <w:p w14:paraId="4522A8A8">
            <w:pPr>
              <w:pStyle w:val="12"/>
              <w:numPr>
                <w:ilvl w:val="0"/>
                <w:numId w:val="47"/>
              </w:numPr>
              <w:ind w:firstLineChars="0"/>
            </w:pPr>
            <w:r>
              <w:rPr>
                <w:rFonts w:hint="eastAsia"/>
              </w:rPr>
              <w:t>高血压</w:t>
            </w:r>
            <w:r>
              <w:t>病例报卡</w:t>
            </w:r>
          </w:p>
          <w:p w14:paraId="5DAD085A">
            <w:pPr>
              <w:pStyle w:val="12"/>
              <w:numPr>
                <w:ilvl w:val="0"/>
                <w:numId w:val="47"/>
              </w:numPr>
              <w:ind w:firstLineChars="0"/>
            </w:pPr>
            <w:r>
              <w:rPr>
                <w:rFonts w:hint="eastAsia"/>
              </w:rPr>
              <w:t>心脑</w:t>
            </w:r>
            <w:r>
              <w:t>血管病例报卡</w:t>
            </w:r>
          </w:p>
          <w:p w14:paraId="52263DEF">
            <w:pPr>
              <w:pStyle w:val="12"/>
              <w:numPr>
                <w:ilvl w:val="0"/>
                <w:numId w:val="47"/>
              </w:numPr>
              <w:ind w:firstLineChars="0"/>
            </w:pPr>
            <w:r>
              <w:rPr>
                <w:rFonts w:hint="eastAsia"/>
              </w:rPr>
              <w:t>心肌梗死报告卡</w:t>
            </w:r>
          </w:p>
          <w:p w14:paraId="2022E07A">
            <w:pPr>
              <w:pStyle w:val="12"/>
              <w:numPr>
                <w:ilvl w:val="0"/>
                <w:numId w:val="47"/>
              </w:numPr>
              <w:ind w:firstLineChars="0"/>
            </w:pPr>
            <w:r>
              <w:rPr>
                <w:rFonts w:hint="eastAsia"/>
              </w:rPr>
              <w:t>慢性阻塞性肺疾病报卡</w:t>
            </w:r>
          </w:p>
          <w:p w14:paraId="750A7C50">
            <w:pPr>
              <w:pStyle w:val="12"/>
              <w:numPr>
                <w:ilvl w:val="0"/>
                <w:numId w:val="47"/>
              </w:numPr>
              <w:ind w:firstLineChars="0"/>
            </w:pPr>
            <w:r>
              <w:rPr>
                <w:rFonts w:hint="eastAsia"/>
              </w:rPr>
              <w:t>脑卒中报告卡</w:t>
            </w:r>
          </w:p>
          <w:p w14:paraId="2E4FFAA8">
            <w:pPr>
              <w:pStyle w:val="12"/>
              <w:numPr>
                <w:ilvl w:val="0"/>
                <w:numId w:val="47"/>
              </w:numPr>
              <w:ind w:firstLineChars="0"/>
            </w:pPr>
            <w:r>
              <w:rPr>
                <w:rFonts w:hint="eastAsia"/>
              </w:rPr>
              <w:t>慢性支气管炎报告卡</w:t>
            </w:r>
          </w:p>
          <w:p w14:paraId="4D4FC098">
            <w:pPr>
              <w:pStyle w:val="12"/>
              <w:numPr>
                <w:ilvl w:val="0"/>
                <w:numId w:val="47"/>
              </w:numPr>
              <w:ind w:firstLineChars="0"/>
            </w:pPr>
            <w:r>
              <w:rPr>
                <w:rFonts w:hint="eastAsia"/>
              </w:rPr>
              <w:t>肺气肿报告卡</w:t>
            </w:r>
          </w:p>
          <w:p w14:paraId="079C5E97">
            <w:pPr>
              <w:pStyle w:val="12"/>
              <w:numPr>
                <w:ilvl w:val="0"/>
                <w:numId w:val="47"/>
              </w:numPr>
              <w:ind w:firstLineChars="0"/>
            </w:pPr>
            <w:r>
              <w:rPr>
                <w:rFonts w:hint="eastAsia" w:ascii="宋体" w:hAnsi="宋体"/>
                <w:szCs w:val="21"/>
              </w:rPr>
              <w:t>慢性呼吸系统疾病报卡</w:t>
            </w:r>
          </w:p>
          <w:p w14:paraId="14E57264">
            <w:pPr>
              <w:pStyle w:val="12"/>
              <w:numPr>
                <w:ilvl w:val="0"/>
                <w:numId w:val="47"/>
              </w:numPr>
              <w:ind w:firstLineChars="0"/>
              <w:rPr>
                <w:rFonts w:ascii="宋体" w:hAnsi="宋体"/>
                <w:szCs w:val="21"/>
              </w:rPr>
            </w:pPr>
            <w:r>
              <w:rPr>
                <w:rFonts w:hint="eastAsia" w:ascii="宋体" w:hAnsi="宋体"/>
                <w:szCs w:val="21"/>
              </w:rPr>
              <w:t>慢病高风险人群健康管理信息登记卡</w:t>
            </w:r>
            <w:r>
              <w:rPr>
                <w:rFonts w:hint="eastAsia" w:ascii="宋体" w:hAnsi="宋体"/>
                <w:szCs w:val="21"/>
              </w:rPr>
              <w:tab/>
            </w:r>
          </w:p>
          <w:p w14:paraId="41622E42">
            <w:pPr>
              <w:pStyle w:val="12"/>
              <w:numPr>
                <w:ilvl w:val="0"/>
                <w:numId w:val="47"/>
              </w:numPr>
              <w:ind w:firstLineChars="0"/>
              <w:rPr>
                <w:rFonts w:ascii="宋体" w:hAnsi="宋体"/>
                <w:szCs w:val="21"/>
              </w:rPr>
            </w:pPr>
            <w:r>
              <w:rPr>
                <w:rFonts w:hint="eastAsia" w:ascii="宋体" w:hAnsi="宋体"/>
                <w:szCs w:val="21"/>
              </w:rPr>
              <w:t>慢性病登记报告卡</w:t>
            </w:r>
          </w:p>
          <w:p w14:paraId="6E958233">
            <w:pPr>
              <w:pStyle w:val="12"/>
              <w:numPr>
                <w:ilvl w:val="0"/>
                <w:numId w:val="47"/>
              </w:numPr>
              <w:ind w:firstLineChars="0"/>
            </w:pPr>
            <w:r>
              <w:rPr>
                <w:rFonts w:hint="eastAsia"/>
              </w:rPr>
              <w:t>门诊病人35岁及以上首诊血压登记卡</w:t>
            </w:r>
          </w:p>
          <w:p w14:paraId="78B0D1C4">
            <w:pPr>
              <w:pStyle w:val="12"/>
              <w:numPr>
                <w:ilvl w:val="0"/>
                <w:numId w:val="47"/>
              </w:numPr>
              <w:ind w:firstLineChars="0"/>
            </w:pPr>
            <w:r>
              <w:rPr>
                <w:rFonts w:hint="eastAsia"/>
              </w:rPr>
              <w:t>孕产妇死亡个案表</w:t>
            </w:r>
          </w:p>
          <w:p w14:paraId="326C3421">
            <w:pPr>
              <w:pStyle w:val="12"/>
              <w:numPr>
                <w:ilvl w:val="0"/>
                <w:numId w:val="47"/>
              </w:numPr>
              <w:ind w:firstLineChars="0"/>
            </w:pPr>
            <w:r>
              <w:rPr>
                <w:rFonts w:hint="eastAsia"/>
              </w:rPr>
              <w:t>死亡病例信息</w:t>
            </w:r>
          </w:p>
          <w:p w14:paraId="7C18AD6D">
            <w:pPr>
              <w:pStyle w:val="12"/>
              <w:numPr>
                <w:ilvl w:val="0"/>
                <w:numId w:val="47"/>
              </w:numPr>
              <w:ind w:firstLineChars="0"/>
            </w:pPr>
            <w:r>
              <w:rPr>
                <w:rFonts w:hint="eastAsia" w:ascii="宋体" w:hAnsi="宋体"/>
                <w:szCs w:val="21"/>
              </w:rPr>
              <w:t>35岁以上首诊血压</w:t>
            </w:r>
          </w:p>
        </w:tc>
      </w:tr>
      <w:tr w14:paraId="4CE8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2" w:type="dxa"/>
            <w:vMerge w:val="continue"/>
            <w:vAlign w:val="center"/>
          </w:tcPr>
          <w:p w14:paraId="0964E1FB">
            <w:pPr>
              <w:pStyle w:val="6"/>
              <w:ind w:left="0" w:leftChars="0" w:firstLine="0" w:firstLineChars="0"/>
              <w:jc w:val="center"/>
            </w:pPr>
          </w:p>
        </w:tc>
        <w:tc>
          <w:tcPr>
            <w:tcW w:w="2258" w:type="dxa"/>
            <w:vAlign w:val="center"/>
          </w:tcPr>
          <w:p w14:paraId="7E3E03FD">
            <w:pPr>
              <w:pStyle w:val="6"/>
              <w:ind w:left="0" w:leftChars="0" w:firstLine="0" w:firstLineChars="0"/>
              <w:jc w:val="center"/>
            </w:pPr>
            <w:r>
              <w:rPr>
                <w:rFonts w:hint="eastAsia"/>
              </w:rPr>
              <w:t>食源类</w:t>
            </w:r>
          </w:p>
        </w:tc>
        <w:tc>
          <w:tcPr>
            <w:tcW w:w="6228" w:type="dxa"/>
          </w:tcPr>
          <w:p w14:paraId="2C2C0EC0">
            <w:pPr>
              <w:pStyle w:val="12"/>
              <w:numPr>
                <w:ilvl w:val="0"/>
                <w:numId w:val="48"/>
              </w:numPr>
              <w:ind w:firstLineChars="0"/>
            </w:pPr>
            <w:r>
              <w:rPr>
                <w:rFonts w:hint="eastAsia"/>
              </w:rPr>
              <w:t>食源性疾病报卡</w:t>
            </w:r>
          </w:p>
          <w:p w14:paraId="313EAFBF">
            <w:pPr>
              <w:pStyle w:val="12"/>
              <w:numPr>
                <w:ilvl w:val="0"/>
                <w:numId w:val="48"/>
              </w:numPr>
              <w:ind w:firstLineChars="0"/>
            </w:pPr>
            <w:r>
              <w:rPr>
                <w:rFonts w:hint="eastAsia"/>
              </w:rPr>
              <w:t>食源</w:t>
            </w:r>
            <w:r>
              <w:t>异常报卡</w:t>
            </w:r>
          </w:p>
        </w:tc>
      </w:tr>
      <w:tr w14:paraId="265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vAlign w:val="center"/>
          </w:tcPr>
          <w:p w14:paraId="215657F7">
            <w:pPr>
              <w:pStyle w:val="6"/>
              <w:ind w:left="0" w:leftChars="0" w:firstLine="0" w:firstLineChars="0"/>
              <w:jc w:val="center"/>
            </w:pPr>
          </w:p>
        </w:tc>
        <w:tc>
          <w:tcPr>
            <w:tcW w:w="2258" w:type="dxa"/>
            <w:vAlign w:val="center"/>
          </w:tcPr>
          <w:p w14:paraId="08794FBD">
            <w:pPr>
              <w:pStyle w:val="6"/>
              <w:ind w:left="0" w:leftChars="0" w:firstLine="0" w:firstLineChars="0"/>
              <w:jc w:val="center"/>
            </w:pPr>
            <w:r>
              <w:rPr>
                <w:rFonts w:hint="eastAsia"/>
              </w:rPr>
              <w:t>死亡类</w:t>
            </w:r>
          </w:p>
        </w:tc>
        <w:tc>
          <w:tcPr>
            <w:tcW w:w="6228" w:type="dxa"/>
          </w:tcPr>
          <w:p w14:paraId="30F4B132">
            <w:pPr>
              <w:pStyle w:val="12"/>
              <w:numPr>
                <w:ilvl w:val="0"/>
                <w:numId w:val="49"/>
              </w:numPr>
              <w:ind w:firstLineChars="0"/>
            </w:pPr>
            <w:r>
              <w:rPr>
                <w:rFonts w:hint="eastAsia"/>
              </w:rPr>
              <w:t>居民死因报卡</w:t>
            </w:r>
          </w:p>
          <w:p w14:paraId="363E9319">
            <w:pPr>
              <w:pStyle w:val="12"/>
              <w:numPr>
                <w:ilvl w:val="0"/>
                <w:numId w:val="49"/>
              </w:numPr>
              <w:ind w:firstLineChars="0"/>
            </w:pPr>
            <w:r>
              <w:rPr>
                <w:rFonts w:hint="eastAsia"/>
              </w:rPr>
              <w:t>孕产妇</w:t>
            </w:r>
            <w:r>
              <w:t>死亡报卡</w:t>
            </w:r>
          </w:p>
          <w:p w14:paraId="199DE7F2">
            <w:pPr>
              <w:pStyle w:val="12"/>
              <w:numPr>
                <w:ilvl w:val="0"/>
                <w:numId w:val="49"/>
              </w:numPr>
              <w:ind w:firstLineChars="0"/>
            </w:pPr>
            <w:r>
              <w:rPr>
                <w:rFonts w:hint="eastAsia"/>
              </w:rPr>
              <w:t>儿童</w:t>
            </w:r>
            <w:r>
              <w:t>死亡报卡</w:t>
            </w:r>
          </w:p>
          <w:p w14:paraId="59D7FBCA">
            <w:pPr>
              <w:pStyle w:val="12"/>
              <w:numPr>
                <w:ilvl w:val="0"/>
                <w:numId w:val="49"/>
              </w:numPr>
              <w:ind w:firstLineChars="0"/>
            </w:pPr>
            <w:r>
              <w:rPr>
                <w:rFonts w:hint="eastAsia"/>
              </w:rPr>
              <w:t>监测点5岁以下儿童死亡个案报告卡</w:t>
            </w:r>
          </w:p>
          <w:p w14:paraId="4DE35C28">
            <w:pPr>
              <w:pStyle w:val="12"/>
              <w:numPr>
                <w:ilvl w:val="0"/>
                <w:numId w:val="49"/>
              </w:numPr>
              <w:ind w:firstLineChars="0"/>
            </w:pPr>
            <w:r>
              <w:rPr>
                <w:rFonts w:hint="eastAsia" w:ascii="宋体" w:hAnsi="宋体"/>
                <w:szCs w:val="21"/>
              </w:rPr>
              <w:t>儿童溺水死亡调查表</w:t>
            </w:r>
          </w:p>
        </w:tc>
      </w:tr>
      <w:tr w14:paraId="62D5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2" w:type="dxa"/>
            <w:vMerge w:val="continue"/>
            <w:vAlign w:val="center"/>
          </w:tcPr>
          <w:p w14:paraId="66BCFC4A">
            <w:pPr>
              <w:pStyle w:val="6"/>
              <w:ind w:left="0" w:leftChars="0" w:firstLine="0" w:firstLineChars="0"/>
              <w:jc w:val="center"/>
            </w:pPr>
          </w:p>
        </w:tc>
        <w:tc>
          <w:tcPr>
            <w:tcW w:w="2258" w:type="dxa"/>
            <w:vAlign w:val="center"/>
          </w:tcPr>
          <w:p w14:paraId="7B27906D">
            <w:pPr>
              <w:pStyle w:val="6"/>
              <w:ind w:left="0" w:leftChars="0" w:firstLine="0" w:firstLineChars="0"/>
              <w:jc w:val="center"/>
            </w:pPr>
            <w:r>
              <w:rPr>
                <w:rFonts w:hint="eastAsia"/>
              </w:rPr>
              <w:t>妇幼类</w:t>
            </w:r>
          </w:p>
        </w:tc>
        <w:tc>
          <w:tcPr>
            <w:tcW w:w="6228" w:type="dxa"/>
          </w:tcPr>
          <w:p w14:paraId="37DC94DE">
            <w:pPr>
              <w:pStyle w:val="12"/>
              <w:numPr>
                <w:ilvl w:val="0"/>
                <w:numId w:val="50"/>
              </w:numPr>
              <w:ind w:firstLineChars="0"/>
            </w:pPr>
            <w:r>
              <w:rPr>
                <w:rFonts w:hint="eastAsia"/>
              </w:rPr>
              <w:t>出生缺陷儿登记卡</w:t>
            </w:r>
          </w:p>
          <w:p w14:paraId="2447D873">
            <w:pPr>
              <w:pStyle w:val="12"/>
              <w:numPr>
                <w:ilvl w:val="0"/>
                <w:numId w:val="50"/>
              </w:numPr>
              <w:ind w:firstLineChars="0"/>
            </w:pPr>
            <w:r>
              <w:rPr>
                <w:rFonts w:hint="eastAsia"/>
              </w:rPr>
              <w:t>梅毒感染孕产妇登记卡</w:t>
            </w:r>
          </w:p>
          <w:p w14:paraId="73477869">
            <w:pPr>
              <w:pStyle w:val="12"/>
              <w:numPr>
                <w:ilvl w:val="0"/>
                <w:numId w:val="50"/>
              </w:numPr>
              <w:ind w:firstLineChars="0"/>
            </w:pPr>
            <w:r>
              <w:rPr>
                <w:rFonts w:hint="eastAsia"/>
              </w:rPr>
              <w:t>孕产妇个案登记表</w:t>
            </w:r>
          </w:p>
          <w:p w14:paraId="17E33CAC">
            <w:pPr>
              <w:pStyle w:val="12"/>
              <w:numPr>
                <w:ilvl w:val="0"/>
                <w:numId w:val="50"/>
              </w:numPr>
              <w:ind w:firstLineChars="0"/>
            </w:pPr>
            <w:r>
              <w:rPr>
                <w:rFonts w:hint="eastAsia"/>
              </w:rPr>
              <w:t>梅毒感染孕产妇及所生新生儿登记卡</w:t>
            </w:r>
          </w:p>
          <w:p w14:paraId="039B54F3">
            <w:pPr>
              <w:pStyle w:val="12"/>
              <w:numPr>
                <w:ilvl w:val="0"/>
                <w:numId w:val="50"/>
              </w:numPr>
              <w:ind w:firstLineChars="0"/>
            </w:pPr>
            <w:r>
              <w:rPr>
                <w:rFonts w:hint="eastAsia"/>
              </w:rPr>
              <w:t>梅毒感染产妇所生儿童随访情况</w:t>
            </w:r>
          </w:p>
          <w:p w14:paraId="7916A62C">
            <w:pPr>
              <w:pStyle w:val="12"/>
              <w:numPr>
                <w:ilvl w:val="0"/>
                <w:numId w:val="50"/>
              </w:numPr>
              <w:ind w:firstLineChars="0"/>
            </w:pPr>
            <w:r>
              <w:t>18月龄内儿童梅毒检测结果异常登记表</w:t>
            </w:r>
          </w:p>
          <w:p w14:paraId="74F1D327">
            <w:pPr>
              <w:pStyle w:val="12"/>
              <w:numPr>
                <w:ilvl w:val="0"/>
                <w:numId w:val="50"/>
              </w:numPr>
              <w:ind w:firstLineChars="0"/>
            </w:pPr>
            <w:r>
              <w:rPr>
                <w:rFonts w:hint="eastAsia"/>
              </w:rPr>
              <w:t>艾滋病病毒感染孕产妇/婚检妇女基本情况登记卡</w:t>
            </w:r>
          </w:p>
          <w:p w14:paraId="7C3E7208">
            <w:pPr>
              <w:pStyle w:val="12"/>
              <w:numPr>
                <w:ilvl w:val="0"/>
                <w:numId w:val="50"/>
              </w:numPr>
              <w:ind w:firstLineChars="0"/>
            </w:pPr>
            <w:r>
              <w:rPr>
                <w:rFonts w:hint="eastAsia"/>
              </w:rPr>
              <w:t>艾滋病病毒感染孕产妇妊娠及所生婴儿登记卡</w:t>
            </w:r>
          </w:p>
          <w:p w14:paraId="02A98848">
            <w:pPr>
              <w:pStyle w:val="12"/>
              <w:numPr>
                <w:ilvl w:val="0"/>
                <w:numId w:val="50"/>
              </w:numPr>
              <w:ind w:firstLineChars="0"/>
            </w:pPr>
            <w:r>
              <w:t>乙肝感染孕产妇及所生新生儿个案登记卡</w:t>
            </w:r>
          </w:p>
          <w:p w14:paraId="3CDDF0DF">
            <w:pPr>
              <w:pStyle w:val="12"/>
              <w:numPr>
                <w:ilvl w:val="0"/>
                <w:numId w:val="50"/>
              </w:numPr>
              <w:ind w:firstLineChars="0"/>
            </w:pPr>
            <w:r>
              <w:t>乙肝感染产妇所生婴儿随访卡</w:t>
            </w:r>
          </w:p>
          <w:p w14:paraId="296E7621">
            <w:pPr>
              <w:pStyle w:val="12"/>
              <w:numPr>
                <w:ilvl w:val="0"/>
                <w:numId w:val="50"/>
              </w:numPr>
              <w:ind w:firstLineChars="0"/>
              <w:rPr>
                <w:rFonts w:ascii="宋体" w:hAnsi="宋体"/>
                <w:szCs w:val="21"/>
              </w:rPr>
            </w:pPr>
            <w:r>
              <w:rPr>
                <w:rFonts w:hint="eastAsia" w:ascii="宋体" w:hAnsi="宋体"/>
                <w:szCs w:val="21"/>
              </w:rPr>
              <w:t>院内母婴阻断转诊单</w:t>
            </w:r>
          </w:p>
          <w:p w14:paraId="0DB695AD">
            <w:pPr>
              <w:pStyle w:val="12"/>
              <w:numPr>
                <w:ilvl w:val="0"/>
                <w:numId w:val="50"/>
              </w:numPr>
              <w:ind w:firstLineChars="0"/>
              <w:rPr>
                <w:rFonts w:ascii="宋体" w:hAnsi="宋体"/>
                <w:szCs w:val="21"/>
              </w:rPr>
            </w:pPr>
            <w:r>
              <w:rPr>
                <w:rFonts w:hint="eastAsia" w:ascii="宋体" w:hAnsi="宋体"/>
                <w:szCs w:val="21"/>
              </w:rPr>
              <w:t>孕产妇妊娠风险评估分级报告单</w:t>
            </w:r>
          </w:p>
          <w:p w14:paraId="3098BE7A">
            <w:pPr>
              <w:pStyle w:val="12"/>
              <w:numPr>
                <w:ilvl w:val="0"/>
                <w:numId w:val="50"/>
              </w:numPr>
              <w:ind w:firstLineChars="0"/>
            </w:pPr>
            <w:r>
              <w:rPr>
                <w:rFonts w:hint="eastAsia" w:ascii="宋体" w:hAnsi="宋体"/>
                <w:szCs w:val="21"/>
              </w:rPr>
              <w:t>艾滋病感染妇女及所生儿童个案登记卡</w:t>
            </w:r>
          </w:p>
          <w:p w14:paraId="6ED023BC">
            <w:pPr>
              <w:pStyle w:val="12"/>
              <w:numPr>
                <w:ilvl w:val="0"/>
                <w:numId w:val="50"/>
              </w:numPr>
              <w:ind w:firstLineChars="0"/>
            </w:pPr>
            <w:r>
              <w:rPr>
                <w:rFonts w:hint="eastAsia"/>
              </w:rPr>
              <w:t>艾滋病感染产妇及所生儿童随访情况</w:t>
            </w:r>
          </w:p>
          <w:p w14:paraId="41F7E632">
            <w:pPr>
              <w:pStyle w:val="12"/>
              <w:numPr>
                <w:ilvl w:val="0"/>
                <w:numId w:val="50"/>
              </w:numPr>
              <w:ind w:firstLineChars="0"/>
            </w:pPr>
            <w:r>
              <w:rPr>
                <w:rFonts w:hint="eastAsia"/>
              </w:rPr>
              <w:t>监测点出生缺陷个案报告卡</w:t>
            </w:r>
          </w:p>
          <w:p w14:paraId="5E46F297">
            <w:pPr>
              <w:pStyle w:val="12"/>
              <w:numPr>
                <w:ilvl w:val="0"/>
                <w:numId w:val="50"/>
              </w:numPr>
              <w:ind w:firstLineChars="0"/>
            </w:pPr>
            <w:r>
              <w:rPr>
                <w:rFonts w:hint="eastAsia"/>
              </w:rPr>
              <w:t>分娩登记表</w:t>
            </w:r>
          </w:p>
        </w:tc>
      </w:tr>
      <w:tr w14:paraId="6284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2" w:type="dxa"/>
            <w:vMerge w:val="continue"/>
            <w:vAlign w:val="center"/>
          </w:tcPr>
          <w:p w14:paraId="31425E4B">
            <w:pPr>
              <w:pStyle w:val="6"/>
              <w:ind w:left="0" w:leftChars="0" w:firstLine="0" w:firstLineChars="0"/>
              <w:jc w:val="center"/>
            </w:pPr>
          </w:p>
        </w:tc>
        <w:tc>
          <w:tcPr>
            <w:tcW w:w="2258" w:type="dxa"/>
            <w:vAlign w:val="center"/>
          </w:tcPr>
          <w:p w14:paraId="5A2823AF">
            <w:pPr>
              <w:pStyle w:val="6"/>
              <w:ind w:left="0" w:leftChars="0" w:firstLine="0" w:firstLineChars="0"/>
              <w:jc w:val="center"/>
            </w:pPr>
            <w:r>
              <w:rPr>
                <w:rFonts w:hint="eastAsia"/>
              </w:rPr>
              <w:t>精神卫生类</w:t>
            </w:r>
          </w:p>
        </w:tc>
        <w:tc>
          <w:tcPr>
            <w:tcW w:w="6228" w:type="dxa"/>
          </w:tcPr>
          <w:p w14:paraId="50EDD281">
            <w:pPr>
              <w:pStyle w:val="12"/>
              <w:numPr>
                <w:ilvl w:val="0"/>
                <w:numId w:val="51"/>
              </w:numPr>
              <w:ind w:firstLineChars="0"/>
            </w:pPr>
            <w:r>
              <w:t>严重精神障碍患者报告卡</w:t>
            </w:r>
          </w:p>
          <w:p w14:paraId="4EB18836">
            <w:pPr>
              <w:pStyle w:val="12"/>
              <w:numPr>
                <w:ilvl w:val="0"/>
                <w:numId w:val="51"/>
              </w:numPr>
              <w:ind w:firstLineChars="0"/>
            </w:pPr>
            <w:r>
              <w:t>严重精神障碍患者出院信息单</w:t>
            </w:r>
          </w:p>
          <w:p w14:paraId="0BC3684C">
            <w:pPr>
              <w:pStyle w:val="12"/>
              <w:numPr>
                <w:ilvl w:val="0"/>
                <w:numId w:val="51"/>
              </w:numPr>
              <w:ind w:firstLineChars="0"/>
            </w:pPr>
            <w:r>
              <w:rPr>
                <w:rFonts w:hint="eastAsia"/>
              </w:rPr>
              <w:t>参加严重精神障碍社区治疗服务知情同意书报卡</w:t>
            </w:r>
          </w:p>
        </w:tc>
      </w:tr>
      <w:tr w14:paraId="2909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2" w:type="dxa"/>
            <w:vMerge w:val="continue"/>
            <w:vAlign w:val="center"/>
          </w:tcPr>
          <w:p w14:paraId="1D021117">
            <w:pPr>
              <w:pStyle w:val="6"/>
              <w:ind w:left="0" w:leftChars="0" w:firstLine="0" w:firstLineChars="0"/>
              <w:jc w:val="center"/>
            </w:pPr>
          </w:p>
        </w:tc>
        <w:tc>
          <w:tcPr>
            <w:tcW w:w="2258" w:type="dxa"/>
            <w:vAlign w:val="center"/>
          </w:tcPr>
          <w:p w14:paraId="73566B08">
            <w:pPr>
              <w:pStyle w:val="6"/>
              <w:ind w:left="0" w:leftChars="0" w:firstLine="0" w:firstLineChars="0"/>
              <w:jc w:val="center"/>
            </w:pPr>
            <w:r>
              <w:rPr>
                <w:rFonts w:hint="eastAsia"/>
              </w:rPr>
              <w:t>中毒类</w:t>
            </w:r>
          </w:p>
        </w:tc>
        <w:tc>
          <w:tcPr>
            <w:tcW w:w="6228" w:type="dxa"/>
          </w:tcPr>
          <w:p w14:paraId="5554FD47">
            <w:pPr>
              <w:pStyle w:val="12"/>
              <w:ind w:firstLine="0" w:firstLineChars="0"/>
            </w:pPr>
            <w:r>
              <w:rPr>
                <w:rFonts w:hint="eastAsia"/>
              </w:rPr>
              <w:t xml:space="preserve">1.非职业性一氧化碳中毒个案相关信息报告卡 </w:t>
            </w:r>
          </w:p>
          <w:p w14:paraId="388571DF">
            <w:pPr>
              <w:pStyle w:val="12"/>
              <w:ind w:firstLine="0" w:firstLineChars="0"/>
            </w:pPr>
            <w:r>
              <w:rPr>
                <w:rFonts w:hint="eastAsia"/>
              </w:rPr>
              <w:t>2.非职业化一氧化碳中毒事件信息报告卡</w:t>
            </w:r>
          </w:p>
          <w:p w14:paraId="726E531F">
            <w:pPr>
              <w:pStyle w:val="12"/>
              <w:ind w:firstLine="0" w:firstLineChars="0"/>
            </w:pPr>
            <w:r>
              <w:rPr>
                <w:rFonts w:hint="eastAsia"/>
              </w:rPr>
              <w:t xml:space="preserve">3.农药中毒 </w:t>
            </w:r>
          </w:p>
          <w:p w14:paraId="0D77C7AC">
            <w:pPr>
              <w:pStyle w:val="12"/>
              <w:ind w:firstLine="0" w:firstLineChars="0"/>
            </w:pPr>
            <w:r>
              <w:rPr>
                <w:rFonts w:hint="eastAsia"/>
              </w:rPr>
              <w:t>4.食物中毒</w:t>
            </w:r>
          </w:p>
          <w:p w14:paraId="4733CB41">
            <w:pPr>
              <w:pStyle w:val="12"/>
              <w:ind w:firstLine="0" w:firstLineChars="0"/>
            </w:pPr>
            <w:r>
              <w:rPr>
                <w:rFonts w:hint="eastAsia"/>
              </w:rPr>
              <w:t>5.药物中毒报告卡</w:t>
            </w:r>
          </w:p>
        </w:tc>
      </w:tr>
      <w:tr w14:paraId="63AF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2" w:type="dxa"/>
            <w:vMerge w:val="continue"/>
            <w:vAlign w:val="center"/>
          </w:tcPr>
          <w:p w14:paraId="66888ED6">
            <w:pPr>
              <w:pStyle w:val="6"/>
              <w:ind w:left="0" w:leftChars="0" w:firstLine="0" w:firstLineChars="0"/>
              <w:jc w:val="center"/>
            </w:pPr>
          </w:p>
        </w:tc>
        <w:tc>
          <w:tcPr>
            <w:tcW w:w="2258" w:type="dxa"/>
            <w:vAlign w:val="center"/>
          </w:tcPr>
          <w:p w14:paraId="1FDC9571">
            <w:pPr>
              <w:pStyle w:val="6"/>
              <w:ind w:left="0" w:leftChars="0" w:firstLine="0" w:firstLineChars="0"/>
              <w:jc w:val="center"/>
            </w:pPr>
            <w:r>
              <w:rPr>
                <w:rFonts w:hint="eastAsia"/>
              </w:rPr>
              <w:t>中暑类</w:t>
            </w:r>
          </w:p>
        </w:tc>
        <w:tc>
          <w:tcPr>
            <w:tcW w:w="6228" w:type="dxa"/>
          </w:tcPr>
          <w:p w14:paraId="6C5DC087">
            <w:pPr>
              <w:pStyle w:val="12"/>
              <w:numPr>
                <w:ilvl w:val="0"/>
                <w:numId w:val="52"/>
              </w:numPr>
              <w:ind w:firstLineChars="0"/>
            </w:pPr>
            <w:r>
              <w:rPr>
                <w:rFonts w:hint="eastAsia"/>
              </w:rPr>
              <w:t>高温</w:t>
            </w:r>
            <w:r>
              <w:t>中暑报卡</w:t>
            </w:r>
          </w:p>
        </w:tc>
      </w:tr>
      <w:tr w14:paraId="3D45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2" w:type="dxa"/>
            <w:vMerge w:val="continue"/>
            <w:vAlign w:val="center"/>
          </w:tcPr>
          <w:p w14:paraId="6E863164">
            <w:pPr>
              <w:pStyle w:val="6"/>
              <w:ind w:left="0" w:leftChars="0" w:firstLine="0" w:firstLineChars="0"/>
              <w:jc w:val="center"/>
            </w:pPr>
          </w:p>
        </w:tc>
        <w:tc>
          <w:tcPr>
            <w:tcW w:w="2258" w:type="dxa"/>
            <w:vAlign w:val="center"/>
          </w:tcPr>
          <w:p w14:paraId="2D21BCDE">
            <w:pPr>
              <w:pStyle w:val="6"/>
              <w:ind w:left="0" w:leftChars="0" w:firstLine="0" w:firstLineChars="0"/>
              <w:jc w:val="center"/>
            </w:pPr>
            <w:r>
              <w:rPr>
                <w:rFonts w:hint="eastAsia"/>
              </w:rPr>
              <w:t>免疫类</w:t>
            </w:r>
          </w:p>
        </w:tc>
        <w:tc>
          <w:tcPr>
            <w:tcW w:w="6228" w:type="dxa"/>
          </w:tcPr>
          <w:p w14:paraId="02576E17">
            <w:pPr>
              <w:pStyle w:val="12"/>
              <w:numPr>
                <w:ilvl w:val="0"/>
                <w:numId w:val="53"/>
              </w:numPr>
              <w:ind w:firstLineChars="0"/>
            </w:pPr>
            <w:r>
              <w:rPr>
                <w:rFonts w:hint="eastAsia"/>
              </w:rPr>
              <w:t>新生儿首剂乙肝疫苗和卡介苗接种登记报告卡</w:t>
            </w:r>
          </w:p>
          <w:p w14:paraId="6F2708DF">
            <w:pPr>
              <w:pStyle w:val="12"/>
              <w:numPr>
                <w:ilvl w:val="0"/>
                <w:numId w:val="53"/>
              </w:numPr>
              <w:ind w:firstLineChars="0"/>
            </w:pPr>
            <w:r>
              <w:rPr>
                <w:rFonts w:hint="eastAsia"/>
              </w:rPr>
              <w:t>AEFI报告卡</w:t>
            </w:r>
          </w:p>
          <w:p w14:paraId="478C4CC6">
            <w:pPr>
              <w:pStyle w:val="12"/>
              <w:numPr>
                <w:ilvl w:val="0"/>
                <w:numId w:val="53"/>
              </w:numPr>
              <w:ind w:firstLineChars="0"/>
            </w:pPr>
            <w:r>
              <w:rPr>
                <w:rFonts w:hint="eastAsia"/>
              </w:rPr>
              <w:t>狂犬病人免疫球蛋白接种登记卡</w:t>
            </w:r>
          </w:p>
          <w:p w14:paraId="6C6A18C6">
            <w:pPr>
              <w:pStyle w:val="12"/>
              <w:numPr>
                <w:ilvl w:val="0"/>
                <w:numId w:val="53"/>
              </w:numPr>
              <w:ind w:firstLineChars="0"/>
            </w:pPr>
            <w:r>
              <w:t>新冠病毒疫苗疑似预防接种异常反应个案报告卡</w:t>
            </w:r>
          </w:p>
        </w:tc>
      </w:tr>
      <w:tr w14:paraId="3BF9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vAlign w:val="center"/>
          </w:tcPr>
          <w:p w14:paraId="2A10DED2">
            <w:pPr>
              <w:pStyle w:val="6"/>
              <w:ind w:left="0" w:leftChars="0" w:firstLine="0" w:firstLineChars="0"/>
              <w:jc w:val="center"/>
            </w:pPr>
          </w:p>
        </w:tc>
        <w:tc>
          <w:tcPr>
            <w:tcW w:w="2258" w:type="dxa"/>
            <w:vAlign w:val="center"/>
          </w:tcPr>
          <w:p w14:paraId="6440F3DB">
            <w:pPr>
              <w:pStyle w:val="6"/>
              <w:ind w:left="0" w:leftChars="0" w:firstLine="0" w:firstLineChars="0"/>
              <w:jc w:val="center"/>
            </w:pPr>
            <w:r>
              <w:rPr>
                <w:rFonts w:hint="eastAsia"/>
              </w:rPr>
              <w:t>职业病类</w:t>
            </w:r>
          </w:p>
        </w:tc>
        <w:tc>
          <w:tcPr>
            <w:tcW w:w="6228" w:type="dxa"/>
          </w:tcPr>
          <w:p w14:paraId="2AD80309">
            <w:pPr>
              <w:pStyle w:val="12"/>
              <w:numPr>
                <w:ilvl w:val="0"/>
                <w:numId w:val="54"/>
              </w:numPr>
              <w:ind w:firstLineChars="0"/>
            </w:pPr>
            <w:r>
              <w:rPr>
                <w:rFonts w:hint="eastAsia"/>
              </w:rPr>
              <w:t>疑似职业病报告卡</w:t>
            </w:r>
          </w:p>
        </w:tc>
      </w:tr>
      <w:tr w14:paraId="0D4C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852" w:type="dxa"/>
            <w:vMerge w:val="continue"/>
            <w:vAlign w:val="center"/>
          </w:tcPr>
          <w:p w14:paraId="608100AF">
            <w:pPr>
              <w:pStyle w:val="6"/>
              <w:ind w:left="0" w:leftChars="0" w:firstLine="0" w:firstLineChars="0"/>
              <w:jc w:val="center"/>
            </w:pPr>
          </w:p>
        </w:tc>
        <w:tc>
          <w:tcPr>
            <w:tcW w:w="2258" w:type="dxa"/>
            <w:vAlign w:val="center"/>
          </w:tcPr>
          <w:p w14:paraId="5004349B">
            <w:pPr>
              <w:pStyle w:val="6"/>
              <w:ind w:left="0" w:leftChars="0" w:firstLine="0" w:firstLineChars="0"/>
              <w:jc w:val="center"/>
            </w:pPr>
            <w:r>
              <w:rPr>
                <w:rFonts w:hint="eastAsia"/>
              </w:rPr>
              <w:t>伤害监测类</w:t>
            </w:r>
          </w:p>
        </w:tc>
        <w:tc>
          <w:tcPr>
            <w:tcW w:w="6228" w:type="dxa"/>
          </w:tcPr>
          <w:p w14:paraId="4C6301E3">
            <w:pPr>
              <w:pStyle w:val="12"/>
              <w:numPr>
                <w:ilvl w:val="0"/>
                <w:numId w:val="55"/>
              </w:numPr>
              <w:ind w:firstLineChars="0"/>
            </w:pPr>
            <w:r>
              <w:rPr>
                <w:rFonts w:hint="eastAsia"/>
              </w:rPr>
              <w:t>伤害监测报告卡</w:t>
            </w:r>
          </w:p>
        </w:tc>
      </w:tr>
      <w:tr w14:paraId="56F9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vAlign w:val="center"/>
          </w:tcPr>
          <w:p w14:paraId="42D9367F">
            <w:pPr>
              <w:pStyle w:val="6"/>
              <w:ind w:left="0" w:leftChars="0" w:firstLine="0" w:firstLineChars="0"/>
              <w:jc w:val="center"/>
            </w:pPr>
          </w:p>
        </w:tc>
        <w:tc>
          <w:tcPr>
            <w:tcW w:w="2258" w:type="dxa"/>
            <w:vAlign w:val="center"/>
          </w:tcPr>
          <w:p w14:paraId="220C7EB4">
            <w:pPr>
              <w:pStyle w:val="6"/>
              <w:ind w:left="0" w:leftChars="0" w:firstLine="0" w:firstLineChars="0"/>
              <w:jc w:val="center"/>
            </w:pPr>
            <w:r>
              <w:rPr>
                <w:rFonts w:hint="eastAsia"/>
              </w:rPr>
              <w:t>突发公告卫生事件类</w:t>
            </w:r>
          </w:p>
        </w:tc>
        <w:tc>
          <w:tcPr>
            <w:tcW w:w="6228" w:type="dxa"/>
          </w:tcPr>
          <w:p w14:paraId="54658DB1">
            <w:pPr>
              <w:pStyle w:val="12"/>
              <w:numPr>
                <w:ilvl w:val="0"/>
                <w:numId w:val="56"/>
              </w:numPr>
              <w:ind w:firstLineChars="0"/>
            </w:pPr>
            <w:r>
              <w:rPr>
                <w:rFonts w:hint="eastAsia" w:ascii="宋体" w:hAnsi="宋体"/>
                <w:szCs w:val="21"/>
              </w:rPr>
              <w:t>突发公共卫生报告卡</w:t>
            </w:r>
          </w:p>
        </w:tc>
      </w:tr>
      <w:tr w14:paraId="0B6D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852" w:type="dxa"/>
            <w:vMerge w:val="continue"/>
            <w:vAlign w:val="center"/>
          </w:tcPr>
          <w:p w14:paraId="3F63B809">
            <w:pPr>
              <w:pStyle w:val="6"/>
              <w:ind w:left="0" w:leftChars="0" w:firstLine="0" w:firstLineChars="0"/>
              <w:jc w:val="center"/>
            </w:pPr>
          </w:p>
        </w:tc>
        <w:tc>
          <w:tcPr>
            <w:tcW w:w="2258" w:type="dxa"/>
            <w:vAlign w:val="center"/>
          </w:tcPr>
          <w:p w14:paraId="6F981286">
            <w:pPr>
              <w:pStyle w:val="6"/>
              <w:ind w:left="0" w:leftChars="0" w:firstLine="0" w:firstLineChars="0"/>
              <w:jc w:val="center"/>
            </w:pPr>
            <w:r>
              <w:rPr>
                <w:rFonts w:hint="eastAsia"/>
              </w:rPr>
              <w:t>不良事件类</w:t>
            </w:r>
          </w:p>
        </w:tc>
        <w:tc>
          <w:tcPr>
            <w:tcW w:w="6228" w:type="dxa"/>
          </w:tcPr>
          <w:p w14:paraId="380B960B">
            <w:pPr>
              <w:widowControl/>
              <w:jc w:val="left"/>
              <w:rPr>
                <w:rFonts w:ascii="宋体" w:hAnsi="宋体" w:cs="宋体"/>
                <w:szCs w:val="21"/>
              </w:rPr>
            </w:pPr>
            <w:r>
              <w:rPr>
                <w:rFonts w:hint="eastAsia" w:ascii="宋体" w:hAnsi="宋体" w:cs="宋体"/>
                <w:kern w:val="0"/>
                <w:szCs w:val="21"/>
                <w:lang w:bidi="ar"/>
              </w:rPr>
              <w:t>1.药品不良反应/事件报告表</w:t>
            </w:r>
          </w:p>
          <w:p w14:paraId="2F87E51C">
            <w:pPr>
              <w:pStyle w:val="12"/>
              <w:ind w:firstLine="0" w:firstLineChars="0"/>
              <w:rPr>
                <w:rFonts w:asciiTheme="minorEastAsia" w:hAnsiTheme="minorEastAsia"/>
                <w:lang w:val="zh-TW" w:eastAsia="zh-TW"/>
              </w:rPr>
            </w:pPr>
            <w:r>
              <w:rPr>
                <w:rFonts w:hint="eastAsia" w:ascii="宋体" w:hAnsi="宋体" w:eastAsia="宋体" w:cs="宋体"/>
                <w:kern w:val="0"/>
                <w:szCs w:val="21"/>
                <w:lang w:bidi="ar"/>
              </w:rPr>
              <w:t>2.可疑医疗器械不良事件报告</w:t>
            </w:r>
          </w:p>
        </w:tc>
      </w:tr>
      <w:tr w14:paraId="4652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852" w:type="dxa"/>
            <w:vMerge w:val="continue"/>
            <w:vAlign w:val="center"/>
          </w:tcPr>
          <w:p w14:paraId="77E757FA">
            <w:pPr>
              <w:pStyle w:val="6"/>
              <w:ind w:left="0" w:leftChars="0" w:firstLine="0" w:firstLineChars="0"/>
              <w:jc w:val="center"/>
            </w:pPr>
          </w:p>
        </w:tc>
        <w:tc>
          <w:tcPr>
            <w:tcW w:w="2258" w:type="dxa"/>
            <w:vAlign w:val="center"/>
          </w:tcPr>
          <w:p w14:paraId="0126FDDF">
            <w:pPr>
              <w:pStyle w:val="6"/>
              <w:ind w:left="0" w:leftChars="0" w:firstLine="0" w:firstLineChars="0"/>
              <w:jc w:val="center"/>
            </w:pPr>
            <w:r>
              <w:rPr>
                <w:rFonts w:hint="eastAsia"/>
              </w:rPr>
              <w:t>狂犬病暴露类</w:t>
            </w:r>
          </w:p>
        </w:tc>
        <w:tc>
          <w:tcPr>
            <w:tcW w:w="6228" w:type="dxa"/>
          </w:tcPr>
          <w:p w14:paraId="4FE604CA">
            <w:pPr>
              <w:pStyle w:val="12"/>
              <w:numPr>
                <w:ilvl w:val="0"/>
                <w:numId w:val="57"/>
              </w:numPr>
              <w:ind w:firstLineChars="0"/>
            </w:pPr>
            <w:r>
              <w:rPr>
                <w:rFonts w:hint="eastAsia"/>
              </w:rPr>
              <w:t>狂犬病暴露人群登记卡</w:t>
            </w:r>
          </w:p>
        </w:tc>
      </w:tr>
      <w:tr w14:paraId="6EC4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852" w:type="dxa"/>
            <w:vAlign w:val="center"/>
          </w:tcPr>
          <w:p w14:paraId="6A53DE6B">
            <w:pPr>
              <w:pStyle w:val="6"/>
              <w:ind w:left="0" w:leftChars="0" w:firstLine="0" w:firstLineChars="0"/>
              <w:jc w:val="center"/>
            </w:pPr>
          </w:p>
        </w:tc>
        <w:tc>
          <w:tcPr>
            <w:tcW w:w="2258" w:type="dxa"/>
            <w:vAlign w:val="center"/>
          </w:tcPr>
          <w:p w14:paraId="2E888DF5">
            <w:pPr>
              <w:pStyle w:val="6"/>
              <w:ind w:left="0" w:leftChars="0" w:firstLine="0" w:firstLineChars="0"/>
              <w:jc w:val="center"/>
            </w:pPr>
            <w:r>
              <w:rPr>
                <w:rFonts w:hint="eastAsia"/>
              </w:rPr>
              <w:t>其他</w:t>
            </w:r>
          </w:p>
        </w:tc>
        <w:tc>
          <w:tcPr>
            <w:tcW w:w="6228" w:type="dxa"/>
          </w:tcPr>
          <w:p w14:paraId="47BAB6BC">
            <w:pPr>
              <w:pStyle w:val="12"/>
            </w:pPr>
            <w:r>
              <w:rPr>
                <w:rFonts w:hint="eastAsia"/>
              </w:rPr>
              <w:t xml:space="preserve">1.发热登记表 </w:t>
            </w:r>
          </w:p>
          <w:p w14:paraId="6101361E">
            <w:pPr>
              <w:pStyle w:val="12"/>
            </w:pPr>
            <w:r>
              <w:rPr>
                <w:rFonts w:hint="eastAsia"/>
              </w:rPr>
              <w:t>2.腹泻登记表</w:t>
            </w:r>
          </w:p>
          <w:p w14:paraId="0686055A">
            <w:pPr>
              <w:pStyle w:val="12"/>
            </w:pPr>
            <w:r>
              <w:rPr>
                <w:rFonts w:hint="eastAsia"/>
              </w:rPr>
              <w:t>3.发热肺炎病例出院诊断情况 4.高温中暑报告卡</w:t>
            </w:r>
          </w:p>
          <w:p w14:paraId="5E88091D">
            <w:pPr>
              <w:pStyle w:val="12"/>
            </w:pPr>
            <w:r>
              <w:rPr>
                <w:rFonts w:hint="eastAsia"/>
              </w:rPr>
              <w:t>5.预防艾滋病、梅毒和乙肝母婴传播工作报表</w:t>
            </w:r>
          </w:p>
          <w:p w14:paraId="23D278F3">
            <w:pPr>
              <w:pStyle w:val="12"/>
            </w:pPr>
            <w:r>
              <w:rPr>
                <w:rFonts w:hint="eastAsia"/>
              </w:rPr>
              <w:t>6.艾滋病感染妇女基本情况</w:t>
            </w:r>
          </w:p>
          <w:p w14:paraId="5C76CCD4">
            <w:pPr>
              <w:pStyle w:val="12"/>
            </w:pPr>
            <w:r>
              <w:rPr>
                <w:rFonts w:hint="eastAsia"/>
              </w:rPr>
              <w:t xml:space="preserve">7.艾滋病感染妇女妊娠及所生婴儿情况 </w:t>
            </w:r>
          </w:p>
          <w:p w14:paraId="549CD6F4">
            <w:pPr>
              <w:pStyle w:val="12"/>
            </w:pPr>
            <w:r>
              <w:rPr>
                <w:rFonts w:hint="eastAsia"/>
              </w:rPr>
              <w:t xml:space="preserve">8.艾滋病感染产妇及所生儿童随访情况 </w:t>
            </w:r>
          </w:p>
          <w:p w14:paraId="1FEF24BC">
            <w:pPr>
              <w:pStyle w:val="12"/>
            </w:pPr>
            <w:r>
              <w:rPr>
                <w:rFonts w:hint="eastAsia"/>
              </w:rPr>
              <w:t>9.梅毒感染孕产妇基本情况</w:t>
            </w:r>
          </w:p>
          <w:p w14:paraId="34610ED3">
            <w:pPr>
              <w:pStyle w:val="12"/>
            </w:pPr>
            <w:r>
              <w:rPr>
                <w:rFonts w:hint="eastAsia"/>
              </w:rPr>
              <w:t xml:space="preserve">10.梅毒感染孕产妇及所生新生儿情况 </w:t>
            </w:r>
          </w:p>
          <w:p w14:paraId="0A8275EB">
            <w:pPr>
              <w:pStyle w:val="12"/>
            </w:pPr>
            <w:r>
              <w:rPr>
                <w:rFonts w:hint="eastAsia"/>
              </w:rPr>
              <w:t>11.梅毒感染产妇所生儿童随访情况</w:t>
            </w:r>
          </w:p>
          <w:p w14:paraId="49F273DD">
            <w:pPr>
              <w:pStyle w:val="12"/>
            </w:pPr>
            <w:r>
              <w:rPr>
                <w:rFonts w:hint="eastAsia"/>
              </w:rPr>
              <w:t xml:space="preserve">12.乙肝感染孕产妇及所生新生儿个案登记卡 </w:t>
            </w:r>
          </w:p>
          <w:p w14:paraId="7553C7AA">
            <w:pPr>
              <w:pStyle w:val="12"/>
            </w:pPr>
            <w:r>
              <w:rPr>
                <w:rFonts w:hint="eastAsia"/>
              </w:rPr>
              <w:t>13.乙肝感染产妇所生婴儿随访卡</w:t>
            </w:r>
          </w:p>
          <w:p w14:paraId="2A1FB18E">
            <w:pPr>
              <w:pStyle w:val="12"/>
            </w:pPr>
            <w:r>
              <w:rPr>
                <w:rFonts w:hint="eastAsia"/>
              </w:rPr>
              <w:t>14.先天性风疹综合征（CRS）监测病例报告卡</w:t>
            </w:r>
          </w:p>
          <w:p w14:paraId="1CEB6489">
            <w:pPr>
              <w:pStyle w:val="12"/>
            </w:pPr>
            <w:r>
              <w:rPr>
                <w:rFonts w:hint="eastAsia"/>
              </w:rPr>
              <w:t>15.传染病症状监测登记卡</w:t>
            </w:r>
          </w:p>
          <w:p w14:paraId="0D7CAE58">
            <w:pPr>
              <w:pStyle w:val="12"/>
            </w:pPr>
            <w:r>
              <w:rPr>
                <w:rFonts w:hint="eastAsia"/>
              </w:rPr>
              <w:t>16.</w:t>
            </w:r>
            <w:r>
              <w:rPr>
                <w:rFonts w:hint="eastAsia"/>
              </w:rPr>
              <w:tab/>
            </w:r>
            <w:r>
              <w:rPr>
                <w:rFonts w:hint="eastAsia"/>
              </w:rPr>
              <w:t>医学科学院科研信息收集表</w:t>
            </w:r>
          </w:p>
          <w:p w14:paraId="03391FE4">
            <w:pPr>
              <w:pStyle w:val="12"/>
            </w:pPr>
            <w:r>
              <w:rPr>
                <w:rFonts w:hint="eastAsia"/>
              </w:rPr>
              <w:t>17.</w:t>
            </w:r>
            <w:r>
              <w:rPr>
                <w:rFonts w:hint="eastAsia"/>
              </w:rPr>
              <w:tab/>
            </w:r>
            <w:r>
              <w:rPr>
                <w:rFonts w:hint="eastAsia"/>
              </w:rPr>
              <w:t>症状监测报卡</w:t>
            </w:r>
          </w:p>
          <w:p w14:paraId="418930F7">
            <w:pPr>
              <w:pStyle w:val="12"/>
            </w:pPr>
            <w:r>
              <w:rPr>
                <w:rFonts w:hint="eastAsia"/>
              </w:rPr>
              <w:t>18.</w:t>
            </w:r>
            <w:r>
              <w:rPr>
                <w:rFonts w:hint="eastAsia"/>
              </w:rPr>
              <w:tab/>
            </w:r>
            <w:r>
              <w:rPr>
                <w:rFonts w:hint="eastAsia"/>
              </w:rPr>
              <w:t>罕见病报卡</w:t>
            </w:r>
          </w:p>
          <w:p w14:paraId="472843FB">
            <w:pPr>
              <w:pStyle w:val="12"/>
            </w:pPr>
            <w:r>
              <w:rPr>
                <w:rFonts w:hint="eastAsia"/>
              </w:rPr>
              <w:t>19.</w:t>
            </w:r>
            <w:r>
              <w:rPr>
                <w:rFonts w:hint="eastAsia"/>
              </w:rPr>
              <w:tab/>
            </w:r>
            <w:r>
              <w:rPr>
                <w:rFonts w:hint="eastAsia"/>
              </w:rPr>
              <w:t>血液透析相关感染现况</w:t>
            </w:r>
          </w:p>
        </w:tc>
      </w:tr>
      <w:tr w14:paraId="619F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52" w:type="dxa"/>
            <w:vAlign w:val="center"/>
          </w:tcPr>
          <w:p w14:paraId="0FE9C4CD">
            <w:pPr>
              <w:jc w:val="center"/>
            </w:pPr>
            <w:r>
              <w:rPr>
                <w:rFonts w:hint="eastAsia"/>
              </w:rPr>
              <w:t>22</w:t>
            </w:r>
          </w:p>
        </w:tc>
        <w:tc>
          <w:tcPr>
            <w:tcW w:w="2258" w:type="dxa"/>
            <w:vAlign w:val="center"/>
          </w:tcPr>
          <w:p w14:paraId="162FB1EF">
            <w:pPr>
              <w:pStyle w:val="6"/>
              <w:ind w:left="0" w:leftChars="0" w:firstLine="0" w:firstLineChars="0"/>
              <w:jc w:val="center"/>
            </w:pPr>
            <w:r>
              <w:rPr>
                <w:rFonts w:hint="eastAsia"/>
              </w:rPr>
              <w:t>流行病学</w:t>
            </w:r>
            <w:r>
              <w:t>个案调查表</w:t>
            </w:r>
          </w:p>
        </w:tc>
        <w:tc>
          <w:tcPr>
            <w:tcW w:w="6228" w:type="dxa"/>
          </w:tcPr>
          <w:p w14:paraId="3EC9DFE9">
            <w:pPr>
              <w:pStyle w:val="12"/>
              <w:ind w:firstLine="0" w:firstLineChars="0"/>
              <w:rPr>
                <w:rFonts w:ascii="宋体" w:hAnsi="宋体"/>
                <w:szCs w:val="21"/>
              </w:rPr>
            </w:pPr>
            <w:r>
              <w:rPr>
                <w:rFonts w:hint="eastAsia"/>
              </w:rPr>
              <w:t>HIV个案随访表、包虫病个案调查表、布病流行病学个案调查表、黑热病个案调查表、流行性出血热流行病学个案调查表、伤寒和副伤寒病人个案调查表、猩红热流行病学个案调查表、丝虫病患者流行病学个案调查表、疟疾病例流行病学个案调查表、百日咳病例个案调查表、虫媒传染病流调表、狂犬病个案调查表、手足口个案调查表、蘑菇中毒个案调查表、丙型肝炎个案调查表、甲型肝炎个案调查表、流行性腮腺炎个案调查表、麻疹疑似病例个案调查表、戊型肝炎个案调查表、乙肝个案调查表、乙型脑炎个案调查表、AFP个案调查表</w:t>
            </w:r>
          </w:p>
        </w:tc>
      </w:tr>
      <w:tr w14:paraId="1177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jc w:val="center"/>
        </w:trPr>
        <w:tc>
          <w:tcPr>
            <w:tcW w:w="852" w:type="dxa"/>
            <w:vAlign w:val="center"/>
          </w:tcPr>
          <w:p w14:paraId="4AE56403">
            <w:pPr>
              <w:jc w:val="center"/>
            </w:pPr>
            <w:r>
              <w:rPr>
                <w:rFonts w:hint="eastAsia"/>
              </w:rPr>
              <w:t>23</w:t>
            </w:r>
          </w:p>
        </w:tc>
        <w:tc>
          <w:tcPr>
            <w:tcW w:w="2258" w:type="dxa"/>
            <w:vAlign w:val="center"/>
          </w:tcPr>
          <w:p w14:paraId="5D3A91A4">
            <w:pPr>
              <w:pStyle w:val="6"/>
              <w:ind w:left="0" w:leftChars="0" w:firstLine="0" w:firstLineChars="0"/>
              <w:jc w:val="center"/>
            </w:pPr>
            <w:r>
              <w:rPr>
                <w:rFonts w:hint="eastAsia"/>
              </w:rPr>
              <w:t>IMC提醒工具</w:t>
            </w:r>
          </w:p>
        </w:tc>
        <w:tc>
          <w:tcPr>
            <w:tcW w:w="6228" w:type="dxa"/>
          </w:tcPr>
          <w:p w14:paraId="2AF23684">
            <w:pPr>
              <w:pStyle w:val="12"/>
              <w:numPr>
                <w:ilvl w:val="0"/>
                <w:numId w:val="58"/>
              </w:numPr>
              <w:ind w:firstLineChars="0"/>
            </w:pPr>
            <w:r>
              <w:rPr>
                <w:rFonts w:hint="eastAsia"/>
              </w:rPr>
              <w:t>支持对临床预警未处理和诊断触发弹卡后未处理的事项提醒临床大夫进行处理，直到临床处理完毕，提醒才会结束</w:t>
            </w:r>
          </w:p>
          <w:p w14:paraId="29223C0C">
            <w:pPr>
              <w:pStyle w:val="12"/>
              <w:numPr>
                <w:ilvl w:val="0"/>
                <w:numId w:val="58"/>
              </w:numPr>
              <w:ind w:firstLineChars="0"/>
            </w:pPr>
            <w:r>
              <w:rPr>
                <w:rFonts w:hint="eastAsia"/>
              </w:rPr>
              <w:t>支持多种提醒方式，一是直接弹出消息框提醒临床医生处理待办事项，二是在电脑右下角以图标闪烁的方式提醒。</w:t>
            </w:r>
          </w:p>
          <w:p w14:paraId="216666E3">
            <w:pPr>
              <w:pStyle w:val="12"/>
              <w:numPr>
                <w:ilvl w:val="0"/>
                <w:numId w:val="58"/>
              </w:numPr>
              <w:ind w:firstLineChars="0"/>
            </w:pPr>
            <w:r>
              <w:rPr>
                <w:rFonts w:hint="eastAsia"/>
              </w:rPr>
              <w:t>提醒范围支持到患者的责任医生或到整个科室</w:t>
            </w:r>
          </w:p>
          <w:p w14:paraId="7085D3BA">
            <w:pPr>
              <w:pStyle w:val="12"/>
              <w:numPr>
                <w:ilvl w:val="0"/>
                <w:numId w:val="58"/>
              </w:numPr>
              <w:ind w:firstLineChars="0"/>
            </w:pPr>
            <w:r>
              <w:rPr>
                <w:rFonts w:hint="eastAsia"/>
              </w:rPr>
              <w:t>支持强制弹出待办事项框，如果医生未处理，系统会不间断弹出消息框，间隔时间支持自定义</w:t>
            </w:r>
          </w:p>
          <w:p w14:paraId="5918686D">
            <w:pPr>
              <w:pStyle w:val="12"/>
              <w:numPr>
                <w:ilvl w:val="0"/>
                <w:numId w:val="58"/>
              </w:numPr>
              <w:ind w:firstLineChars="0"/>
            </w:pPr>
            <w:r>
              <w:rPr>
                <w:rFonts w:hint="eastAsia"/>
              </w:rPr>
              <w:t>支持IMC提醒内容与HIS消息系统对接</w:t>
            </w:r>
          </w:p>
          <w:p w14:paraId="186B0022">
            <w:pPr>
              <w:pStyle w:val="12"/>
              <w:numPr>
                <w:ilvl w:val="0"/>
                <w:numId w:val="58"/>
              </w:numPr>
              <w:ind w:firstLineChars="0"/>
            </w:pPr>
            <w:r>
              <w:rPr>
                <w:rFonts w:hint="eastAsia"/>
              </w:rPr>
              <w:t>IMC具备提醒功能的同时还带有便捷的操作功能，临床大夫在不打开系统的情况下可进行所有上报、排除、查看操作</w:t>
            </w:r>
          </w:p>
          <w:p w14:paraId="5BF0C65B">
            <w:pPr>
              <w:pStyle w:val="12"/>
              <w:numPr>
                <w:ilvl w:val="0"/>
                <w:numId w:val="58"/>
              </w:numPr>
              <w:ind w:firstLineChars="0"/>
            </w:pPr>
            <w:r>
              <w:rPr>
                <w:rFonts w:hint="eastAsia"/>
              </w:rPr>
              <w:t>支持IMC消息界面以Tab页的方式查看待办事项、消息、未报卡列表、未审核报卡、已退卡记录信息，并根据不同的状态显示对应的操作按钮，同时可通过参数或者权限控制Tab页的显示</w:t>
            </w:r>
          </w:p>
          <w:p w14:paraId="3EF67F21">
            <w:pPr>
              <w:pStyle w:val="12"/>
              <w:numPr>
                <w:ilvl w:val="0"/>
                <w:numId w:val="58"/>
              </w:numPr>
              <w:ind w:firstLineChars="0"/>
            </w:pPr>
            <w:r>
              <w:rPr>
                <w:rFonts w:hint="eastAsia"/>
              </w:rPr>
              <w:t>在线学习：支持发送各种通知、学习文件，提醒临床医生查看。文件格式包括txt. jpg . doc . ppt .xls等等</w:t>
            </w:r>
          </w:p>
        </w:tc>
      </w:tr>
      <w:tr w14:paraId="3D95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jc w:val="center"/>
        </w:trPr>
        <w:tc>
          <w:tcPr>
            <w:tcW w:w="852" w:type="dxa"/>
            <w:vAlign w:val="center"/>
          </w:tcPr>
          <w:p w14:paraId="4017F7F0">
            <w:pPr>
              <w:jc w:val="center"/>
            </w:pPr>
            <w:r>
              <w:rPr>
                <w:rFonts w:hint="eastAsia"/>
              </w:rPr>
              <w:t>24</w:t>
            </w:r>
          </w:p>
        </w:tc>
        <w:tc>
          <w:tcPr>
            <w:tcW w:w="2258" w:type="dxa"/>
            <w:vAlign w:val="center"/>
          </w:tcPr>
          <w:p w14:paraId="728F98D6">
            <w:pPr>
              <w:pStyle w:val="6"/>
              <w:ind w:left="0" w:leftChars="0" w:firstLine="0" w:firstLineChars="0"/>
              <w:jc w:val="center"/>
            </w:pPr>
            <w:r>
              <w:rPr>
                <w:rFonts w:hint="eastAsia"/>
              </w:rPr>
              <w:t>管理</w:t>
            </w:r>
            <w:r>
              <w:t>首页</w:t>
            </w:r>
          </w:p>
        </w:tc>
        <w:tc>
          <w:tcPr>
            <w:tcW w:w="6228" w:type="dxa"/>
          </w:tcPr>
          <w:p w14:paraId="09E7441B">
            <w:pPr>
              <w:pStyle w:val="12"/>
              <w:numPr>
                <w:ilvl w:val="0"/>
                <w:numId w:val="59"/>
              </w:numPr>
              <w:ind w:firstLineChars="0"/>
            </w:pPr>
            <w:r>
              <w:rPr>
                <w:rFonts w:hint="eastAsia"/>
              </w:rPr>
              <w:t>支持分类展示</w:t>
            </w:r>
            <w:r>
              <w:t>未审核报卡，</w:t>
            </w:r>
            <w:r>
              <w:rPr>
                <w:rFonts w:hint="eastAsia"/>
              </w:rPr>
              <w:t>且</w:t>
            </w:r>
            <w:r>
              <w:t>可直接穿透到</w:t>
            </w:r>
            <w:r>
              <w:rPr>
                <w:rFonts w:hint="eastAsia"/>
              </w:rPr>
              <w:t>对应类型报卡的审核</w:t>
            </w:r>
            <w:r>
              <w:t>页面</w:t>
            </w:r>
          </w:p>
          <w:p w14:paraId="082C64C1">
            <w:pPr>
              <w:pStyle w:val="12"/>
              <w:numPr>
                <w:ilvl w:val="0"/>
                <w:numId w:val="59"/>
              </w:numPr>
              <w:ind w:firstLineChars="0"/>
            </w:pPr>
            <w:r>
              <w:rPr>
                <w:rFonts w:hint="eastAsia"/>
              </w:rPr>
              <w:t>支持展示未处理的</w:t>
            </w:r>
            <w:r>
              <w:t>预警病例及</w:t>
            </w:r>
            <w:r>
              <w:rPr>
                <w:rFonts w:hint="eastAsia"/>
              </w:rPr>
              <w:t>重点</w:t>
            </w:r>
            <w:r>
              <w:t>监测疾病，且可直接穿透到</w:t>
            </w:r>
            <w:r>
              <w:rPr>
                <w:rFonts w:hint="eastAsia"/>
              </w:rPr>
              <w:t>预警详情页</w:t>
            </w:r>
          </w:p>
          <w:p w14:paraId="2A21E248">
            <w:pPr>
              <w:pStyle w:val="12"/>
              <w:numPr>
                <w:ilvl w:val="0"/>
                <w:numId w:val="59"/>
              </w:numPr>
              <w:ind w:firstLineChars="0"/>
            </w:pPr>
            <w:r>
              <w:rPr>
                <w:rFonts w:hint="eastAsia"/>
              </w:rPr>
              <w:t>支持图形展示</w:t>
            </w:r>
            <w:r>
              <w:t>某时间段（</w:t>
            </w:r>
            <w:r>
              <w:rPr>
                <w:rFonts w:hint="eastAsia"/>
              </w:rPr>
              <w:t>本月、</w:t>
            </w:r>
            <w:r>
              <w:t>近三</w:t>
            </w:r>
            <w:r>
              <w:rPr>
                <w:rFonts w:hint="eastAsia"/>
              </w:rPr>
              <w:t>月、</w:t>
            </w:r>
            <w:r>
              <w:t>近半年、近</w:t>
            </w:r>
            <w:r>
              <w:rPr>
                <w:rFonts w:hint="eastAsia"/>
              </w:rPr>
              <w:t>一年</w:t>
            </w:r>
            <w:r>
              <w:t>）</w:t>
            </w:r>
            <w:r>
              <w:rPr>
                <w:rFonts w:hint="eastAsia"/>
              </w:rPr>
              <w:t>的报卡</w:t>
            </w:r>
            <w:r>
              <w:t>类别构成</w:t>
            </w:r>
            <w:r>
              <w:rPr>
                <w:rFonts w:hint="eastAsia"/>
              </w:rPr>
              <w:t>比</w:t>
            </w:r>
          </w:p>
          <w:p w14:paraId="70F2B766">
            <w:pPr>
              <w:pStyle w:val="12"/>
              <w:numPr>
                <w:ilvl w:val="0"/>
                <w:numId w:val="59"/>
              </w:numPr>
              <w:ind w:firstLineChars="0"/>
            </w:pPr>
            <w:r>
              <w:rPr>
                <w:rFonts w:hint="eastAsia"/>
              </w:rPr>
              <w:t>支持图形展示法定传染病疾病分类构成比、发病</w:t>
            </w:r>
            <w:r>
              <w:t>地区构成比</w:t>
            </w:r>
            <w:r>
              <w:rPr>
                <w:rFonts w:hint="eastAsia"/>
              </w:rPr>
              <w:t>、疾病</w:t>
            </w:r>
            <w:r>
              <w:t>种类构成比</w:t>
            </w:r>
            <w:r>
              <w:rPr>
                <w:rFonts w:hint="eastAsia"/>
              </w:rPr>
              <w:t>、按</w:t>
            </w:r>
            <w:r>
              <w:t>科室分类构成比</w:t>
            </w:r>
            <w:r>
              <w:rPr>
                <w:rFonts w:hint="eastAsia"/>
              </w:rPr>
              <w:t>、按职业分类构成比</w:t>
            </w:r>
          </w:p>
          <w:p w14:paraId="2A72BCB1">
            <w:pPr>
              <w:pStyle w:val="12"/>
              <w:numPr>
                <w:ilvl w:val="0"/>
                <w:numId w:val="59"/>
              </w:numPr>
              <w:ind w:firstLineChars="0"/>
            </w:pPr>
            <w:r>
              <w:rPr>
                <w:rFonts w:hint="eastAsia"/>
              </w:rPr>
              <w:t>支持法定</w:t>
            </w:r>
            <w:r>
              <w:t>传染病上报</w:t>
            </w:r>
            <w:r>
              <w:rPr>
                <w:rFonts w:hint="eastAsia"/>
              </w:rPr>
              <w:t>趋势图</w:t>
            </w:r>
            <w:r>
              <w:t>、</w:t>
            </w:r>
            <w:r>
              <w:rPr>
                <w:rFonts w:hint="eastAsia"/>
              </w:rPr>
              <w:t>法定</w:t>
            </w:r>
            <w:r>
              <w:t>传染病</w:t>
            </w:r>
            <w:r>
              <w:rPr>
                <w:rFonts w:hint="eastAsia"/>
              </w:rPr>
              <w:t>上报</w:t>
            </w:r>
            <w:r>
              <w:t>同比图</w:t>
            </w:r>
            <w:r>
              <w:rPr>
                <w:rFonts w:hint="eastAsia"/>
              </w:rPr>
              <w:t>、死因</w:t>
            </w:r>
            <w:r>
              <w:t>上报趋势图、</w:t>
            </w:r>
            <w:r>
              <w:rPr>
                <w:rFonts w:hint="eastAsia"/>
              </w:rPr>
              <w:t>心脑血管</w:t>
            </w:r>
            <w:r>
              <w:t>上报趋势图、</w:t>
            </w:r>
            <w:r>
              <w:rPr>
                <w:rFonts w:hint="eastAsia"/>
              </w:rPr>
              <w:t>肿瘤</w:t>
            </w:r>
            <w:r>
              <w:t>上报趋势图</w:t>
            </w:r>
          </w:p>
          <w:p w14:paraId="0EBD96DD">
            <w:pPr>
              <w:pStyle w:val="12"/>
              <w:numPr>
                <w:ilvl w:val="0"/>
                <w:numId w:val="59"/>
              </w:numPr>
              <w:ind w:firstLineChars="0"/>
            </w:pPr>
            <w:r>
              <w:rPr>
                <w:rFonts w:hint="eastAsia"/>
              </w:rPr>
              <w:t>支持饼状图和柱状图自由切换</w:t>
            </w:r>
          </w:p>
          <w:p w14:paraId="1A51577B">
            <w:pPr>
              <w:pStyle w:val="12"/>
              <w:numPr>
                <w:ilvl w:val="0"/>
                <w:numId w:val="59"/>
              </w:numPr>
              <w:ind w:firstLineChars="0"/>
            </w:pPr>
            <w:r>
              <w:rPr>
                <w:rFonts w:hint="eastAsia"/>
              </w:rPr>
              <w:t>支持自定义图形</w:t>
            </w:r>
          </w:p>
        </w:tc>
      </w:tr>
      <w:tr w14:paraId="3BA5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52" w:type="dxa"/>
            <w:vAlign w:val="center"/>
          </w:tcPr>
          <w:p w14:paraId="3760BEB8">
            <w:pPr>
              <w:jc w:val="center"/>
            </w:pPr>
            <w:r>
              <w:rPr>
                <w:rFonts w:hint="eastAsia"/>
              </w:rPr>
              <w:t>25</w:t>
            </w:r>
          </w:p>
        </w:tc>
        <w:tc>
          <w:tcPr>
            <w:tcW w:w="2258" w:type="dxa"/>
            <w:vAlign w:val="center"/>
          </w:tcPr>
          <w:p w14:paraId="1581674C">
            <w:pPr>
              <w:pStyle w:val="12"/>
              <w:ind w:firstLine="0" w:firstLineChars="0"/>
              <w:jc w:val="center"/>
            </w:pPr>
            <w:r>
              <w:rPr>
                <w:rFonts w:hint="eastAsia"/>
              </w:rPr>
              <w:t>前置软件安装部署</w:t>
            </w:r>
          </w:p>
        </w:tc>
        <w:tc>
          <w:tcPr>
            <w:tcW w:w="6228" w:type="dxa"/>
          </w:tcPr>
          <w:p w14:paraId="206488E8">
            <w:pPr>
              <w:pStyle w:val="12"/>
              <w:numPr>
                <w:ilvl w:val="0"/>
                <w:numId w:val="60"/>
              </w:numPr>
              <w:ind w:firstLineChars="0"/>
            </w:pPr>
            <w:r>
              <w:rPr>
                <w:rFonts w:hint="eastAsia"/>
              </w:rPr>
              <w:t>支持协助医院准备网络环境，包括网络环境调试服务</w:t>
            </w:r>
          </w:p>
          <w:p w14:paraId="4BE4EBE5">
            <w:pPr>
              <w:pStyle w:val="12"/>
              <w:numPr>
                <w:ilvl w:val="0"/>
                <w:numId w:val="60"/>
              </w:numPr>
              <w:ind w:firstLineChars="0"/>
            </w:pPr>
            <w:r>
              <w:rPr>
                <w:rFonts w:hint="eastAsia"/>
              </w:rPr>
              <w:t>支持协助医院完成前置软件申请、server端安装</w:t>
            </w:r>
          </w:p>
          <w:p w14:paraId="283A9233">
            <w:pPr>
              <w:pStyle w:val="12"/>
              <w:numPr>
                <w:ilvl w:val="0"/>
                <w:numId w:val="60"/>
              </w:numPr>
              <w:ind w:firstLineChars="0"/>
            </w:pPr>
            <w:r>
              <w:rPr>
                <w:rFonts w:hint="eastAsia"/>
              </w:rPr>
              <w:t>支持前置软件数据初始化、基础配置、数据备份</w:t>
            </w:r>
          </w:p>
          <w:p w14:paraId="6A07787B">
            <w:pPr>
              <w:pStyle w:val="12"/>
              <w:numPr>
                <w:ilvl w:val="0"/>
                <w:numId w:val="60"/>
              </w:numPr>
              <w:ind w:firstLineChars="0"/>
            </w:pPr>
            <w:r>
              <w:rPr>
                <w:rFonts w:hint="eastAsia"/>
              </w:rPr>
              <w:t>完成前置软件验收、申请转入正网</w:t>
            </w:r>
          </w:p>
        </w:tc>
      </w:tr>
      <w:tr w14:paraId="3550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852" w:type="dxa"/>
            <w:vAlign w:val="center"/>
          </w:tcPr>
          <w:p w14:paraId="673E53DB">
            <w:pPr>
              <w:jc w:val="center"/>
            </w:pPr>
            <w:r>
              <w:rPr>
                <w:rFonts w:hint="eastAsia"/>
              </w:rPr>
              <w:t>26</w:t>
            </w:r>
          </w:p>
        </w:tc>
        <w:tc>
          <w:tcPr>
            <w:tcW w:w="2258" w:type="dxa"/>
            <w:vAlign w:val="center"/>
          </w:tcPr>
          <w:p w14:paraId="5D23EA73">
            <w:pPr>
              <w:pStyle w:val="12"/>
              <w:ind w:firstLine="0" w:firstLineChars="0"/>
            </w:pPr>
            <w:r>
              <w:rPr>
                <w:rFonts w:hint="eastAsia"/>
              </w:rPr>
              <w:t>前置软件数据采集</w:t>
            </w:r>
          </w:p>
        </w:tc>
        <w:tc>
          <w:tcPr>
            <w:tcW w:w="6228" w:type="dxa"/>
          </w:tcPr>
          <w:p w14:paraId="45E61B36">
            <w:pPr>
              <w:pStyle w:val="12"/>
              <w:numPr>
                <w:ilvl w:val="0"/>
                <w:numId w:val="61"/>
              </w:numPr>
              <w:ind w:firstLineChars="0"/>
              <w:rPr>
                <w:rFonts w:ascii="宋体" w:hAnsi="宋体"/>
                <w:szCs w:val="21"/>
              </w:rPr>
            </w:pPr>
            <w:r>
              <w:rPr>
                <w:rFonts w:ascii="宋体" w:hAnsi="宋体"/>
                <w:szCs w:val="21"/>
              </w:rPr>
              <w:t>支持以视图、API接口等方式自动采集医疗机构业务系统数据，然后进行标准化映射处理后通过API接口传输至前置软件上</w:t>
            </w:r>
          </w:p>
          <w:p w14:paraId="27AED3DD">
            <w:pPr>
              <w:pStyle w:val="12"/>
              <w:numPr>
                <w:ilvl w:val="0"/>
                <w:numId w:val="61"/>
              </w:numPr>
              <w:ind w:firstLineChars="0"/>
              <w:rPr>
                <w:rFonts w:ascii="宋体" w:hAnsi="宋体"/>
                <w:szCs w:val="21"/>
              </w:rPr>
            </w:pPr>
            <w:r>
              <w:rPr>
                <w:rFonts w:hint="eastAsia" w:ascii="宋体" w:hAnsi="宋体"/>
                <w:szCs w:val="21"/>
              </w:rPr>
              <w:t>支持对医院内部数据采集来源、采集频率等相关信息维护</w:t>
            </w:r>
          </w:p>
          <w:p w14:paraId="790298AD">
            <w:pPr>
              <w:pStyle w:val="12"/>
              <w:numPr>
                <w:ilvl w:val="0"/>
                <w:numId w:val="61"/>
              </w:numPr>
              <w:ind w:firstLineChars="0"/>
              <w:rPr>
                <w:rFonts w:ascii="宋体" w:hAnsi="宋体"/>
                <w:szCs w:val="21"/>
              </w:rPr>
            </w:pPr>
            <w:r>
              <w:rPr>
                <w:rFonts w:hint="eastAsia" w:ascii="宋体" w:hAnsi="宋体"/>
                <w:szCs w:val="21"/>
              </w:rPr>
              <w:t>支持传染病检验项目代码、药品字典等数据映射匹配，系统自动加载医院的检验项目、药品字典等数据，同时根据前置软件要求提供标准检验项目、药品等字典的标准值域代码，最后对医院内的字典与标准值域代码进行一一匹配</w:t>
            </w:r>
          </w:p>
          <w:p w14:paraId="73A82B6B">
            <w:pPr>
              <w:pStyle w:val="12"/>
              <w:numPr>
                <w:ilvl w:val="0"/>
                <w:numId w:val="61"/>
              </w:numPr>
              <w:ind w:firstLineChars="0"/>
              <w:rPr>
                <w:rFonts w:ascii="宋体" w:hAnsi="宋体"/>
                <w:szCs w:val="21"/>
              </w:rPr>
            </w:pPr>
            <w:r>
              <w:rPr>
                <w:rFonts w:hint="eastAsia" w:ascii="宋体" w:hAnsi="宋体"/>
                <w:szCs w:val="21"/>
              </w:rPr>
              <w:t>数据上传：数据匹配完成后，系统将采集的数据智能匹配为标准化数据后自动上传，以满足前置软件需求</w:t>
            </w:r>
          </w:p>
          <w:p w14:paraId="15968A68">
            <w:pPr>
              <w:pStyle w:val="12"/>
              <w:numPr>
                <w:ilvl w:val="0"/>
                <w:numId w:val="61"/>
              </w:numPr>
              <w:ind w:firstLineChars="0"/>
              <w:rPr>
                <w:rFonts w:ascii="宋体" w:hAnsi="宋体"/>
                <w:szCs w:val="21"/>
              </w:rPr>
            </w:pPr>
            <w:r>
              <w:rPr>
                <w:rFonts w:hint="eastAsia" w:ascii="宋体" w:hAnsi="宋体"/>
                <w:szCs w:val="21"/>
              </w:rPr>
              <w:t>上传日志查询：支持医疗机构数据上传监控日志信息查询，包括上传接口详情数据、成功上传数据、成功上传数据详情、上传失败数据以及上传失败数据详情信息</w:t>
            </w:r>
          </w:p>
          <w:p w14:paraId="4B4865DD">
            <w:pPr>
              <w:pStyle w:val="12"/>
              <w:numPr>
                <w:ilvl w:val="0"/>
                <w:numId w:val="61"/>
              </w:numPr>
              <w:ind w:firstLineChars="0"/>
            </w:pPr>
            <w:r>
              <w:rPr>
                <w:rFonts w:hint="eastAsia" w:ascii="宋体" w:hAnsi="宋体"/>
                <w:szCs w:val="21"/>
              </w:rPr>
              <w:t>对于上传失败的数据，系统支持自动重传，无需用户手动上传</w:t>
            </w:r>
          </w:p>
          <w:p w14:paraId="33789DF6">
            <w:pPr>
              <w:pStyle w:val="12"/>
              <w:numPr>
                <w:ilvl w:val="0"/>
                <w:numId w:val="61"/>
              </w:numPr>
              <w:ind w:firstLineChars="0"/>
            </w:pPr>
            <w:r>
              <w:rPr>
                <w:rFonts w:hint="eastAsia" w:ascii="宋体" w:hAnsi="宋体"/>
                <w:color w:val="auto"/>
                <w:szCs w:val="21"/>
              </w:rPr>
              <w:t>数据回传保存功能</w:t>
            </w:r>
          </w:p>
        </w:tc>
      </w:tr>
      <w:tr w14:paraId="616C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7452554A">
            <w:pPr>
              <w:jc w:val="center"/>
            </w:pPr>
            <w:r>
              <w:rPr>
                <w:rFonts w:hint="eastAsia"/>
              </w:rPr>
              <w:t>27</w:t>
            </w:r>
          </w:p>
        </w:tc>
        <w:tc>
          <w:tcPr>
            <w:tcW w:w="2258" w:type="dxa"/>
            <w:vAlign w:val="center"/>
          </w:tcPr>
          <w:p w14:paraId="159EDB04">
            <w:pPr>
              <w:pStyle w:val="12"/>
              <w:ind w:firstLine="0" w:firstLineChars="0"/>
            </w:pPr>
            <w:r>
              <w:rPr>
                <w:rFonts w:hint="eastAsia"/>
              </w:rPr>
              <w:t>核辐射/放射管理</w:t>
            </w:r>
          </w:p>
        </w:tc>
        <w:tc>
          <w:tcPr>
            <w:tcW w:w="6228" w:type="dxa"/>
          </w:tcPr>
          <w:p w14:paraId="0A44E7EC">
            <w:pPr>
              <w:numPr>
                <w:ilvl w:val="0"/>
                <w:numId w:val="62"/>
              </w:numPr>
            </w:pPr>
            <w:r>
              <w:rPr>
                <w:rFonts w:hint="eastAsia"/>
              </w:rPr>
              <w:t>提供核辐射工作人员全流程管理功能，包括工作人员基本信息、从事放射工作时间、放射性职业体检记录、个人剂量监测记录、辐射安全防护功能</w:t>
            </w:r>
          </w:p>
          <w:p w14:paraId="1081F672">
            <w:pPr>
              <w:numPr>
                <w:ilvl w:val="0"/>
                <w:numId w:val="62"/>
              </w:numPr>
            </w:pPr>
            <w:r>
              <w:rPr>
                <w:rFonts w:hint="eastAsia"/>
              </w:rPr>
              <w:t>提供通过导入excel模版方式导入核辐射工作人员功能</w:t>
            </w:r>
          </w:p>
          <w:p w14:paraId="64D81F3F">
            <w:pPr>
              <w:numPr>
                <w:ilvl w:val="0"/>
                <w:numId w:val="62"/>
              </w:numPr>
            </w:pPr>
            <w:r>
              <w:rPr>
                <w:rFonts w:hint="eastAsia"/>
              </w:rPr>
              <w:t>提供导出工作人员功能，导出方式为excel</w:t>
            </w:r>
          </w:p>
          <w:p w14:paraId="523397B1">
            <w:pPr>
              <w:numPr>
                <w:ilvl w:val="0"/>
                <w:numId w:val="62"/>
              </w:numPr>
            </w:pPr>
            <w:r>
              <w:rPr>
                <w:rFonts w:hint="eastAsia"/>
              </w:rPr>
              <w:t>提供放射工作时间登记功能，包括开始时间、结束时间、自动计算累计从事放射工作时间</w:t>
            </w:r>
          </w:p>
          <w:p w14:paraId="204F390B">
            <w:pPr>
              <w:numPr>
                <w:ilvl w:val="0"/>
                <w:numId w:val="62"/>
              </w:numPr>
            </w:pPr>
            <w:r>
              <w:rPr>
                <w:rFonts w:hint="eastAsia"/>
              </w:rPr>
              <w:t>提供放射性职业病体检记录，包括体检时间、体检单位、体检结果信息</w:t>
            </w:r>
          </w:p>
          <w:p w14:paraId="1A4C2960">
            <w:pPr>
              <w:numPr>
                <w:ilvl w:val="0"/>
                <w:numId w:val="62"/>
              </w:numPr>
            </w:pPr>
            <w:r>
              <w:rPr>
                <w:rFonts w:hint="eastAsia"/>
              </w:rPr>
              <w:t>提供个人剂量检测记录登记功能，支持按第一、二、三、四个季度分别登记每个季度的个人剂量检测结果，自动计算全年剂量总值，个人剂量检测记录超过正常值时系统自动标红</w:t>
            </w:r>
          </w:p>
          <w:p w14:paraId="76DBFB33">
            <w:pPr>
              <w:numPr>
                <w:ilvl w:val="0"/>
                <w:numId w:val="62"/>
              </w:numPr>
            </w:pPr>
            <w:r>
              <w:rPr>
                <w:rFonts w:hint="eastAsia"/>
              </w:rPr>
              <w:t>提供辐射安全防护培训登记功能，包括省级辐射培训时间、院级辐射培训时间</w:t>
            </w:r>
          </w:p>
          <w:p w14:paraId="7040BDA0">
            <w:pPr>
              <w:pStyle w:val="12"/>
              <w:numPr>
                <w:ilvl w:val="0"/>
                <w:numId w:val="62"/>
              </w:numPr>
              <w:ind w:firstLineChars="0"/>
            </w:pPr>
            <w:r>
              <w:rPr>
                <w:rFonts w:hint="eastAsia"/>
              </w:rPr>
              <w:t>提供体检时间预警功能，当上一次体检时间超过2年时则预警，支持查询预警人员名单并对体检结果进行登记</w:t>
            </w:r>
          </w:p>
          <w:p w14:paraId="7EB784C1">
            <w:pPr>
              <w:numPr>
                <w:ilvl w:val="0"/>
                <w:numId w:val="62"/>
              </w:numPr>
            </w:pPr>
            <w:r>
              <w:rPr>
                <w:rFonts w:hint="eastAsia"/>
              </w:rPr>
              <w:t>提供辐射安全与防护培训时间预警功能，当上一次院级辐射</w:t>
            </w:r>
            <w:r>
              <w:t>培训时间大于4年则预警</w:t>
            </w:r>
          </w:p>
        </w:tc>
      </w:tr>
      <w:tr w14:paraId="6123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852" w:type="dxa"/>
            <w:vAlign w:val="center"/>
          </w:tcPr>
          <w:p w14:paraId="270EEA62">
            <w:pPr>
              <w:jc w:val="center"/>
            </w:pPr>
            <w:r>
              <w:rPr>
                <w:rFonts w:hint="eastAsia"/>
              </w:rPr>
              <w:t>28</w:t>
            </w:r>
          </w:p>
        </w:tc>
        <w:tc>
          <w:tcPr>
            <w:tcW w:w="2258" w:type="dxa"/>
            <w:vAlign w:val="center"/>
          </w:tcPr>
          <w:p w14:paraId="02428347">
            <w:pPr>
              <w:pStyle w:val="6"/>
              <w:ind w:left="0" w:leftChars="0" w:firstLine="0" w:firstLineChars="0"/>
              <w:jc w:val="center"/>
            </w:pPr>
            <w:r>
              <w:rPr>
                <w:rFonts w:hint="eastAsia"/>
              </w:rPr>
              <w:t>移动端审卡</w:t>
            </w:r>
          </w:p>
        </w:tc>
        <w:tc>
          <w:tcPr>
            <w:tcW w:w="6228" w:type="dxa"/>
          </w:tcPr>
          <w:p w14:paraId="4CB2EDD2">
            <w:pPr>
              <w:pStyle w:val="12"/>
              <w:numPr>
                <w:ilvl w:val="0"/>
                <w:numId w:val="63"/>
              </w:numPr>
              <w:ind w:firstLineChars="0"/>
            </w:pPr>
            <w:r>
              <w:rPr>
                <w:rFonts w:hint="eastAsia"/>
              </w:rPr>
              <w:t>提供外网环境下H5程序法定传染病报卡和食源监测报卡内容查看、审核、退卡、删卡功能</w:t>
            </w:r>
          </w:p>
          <w:p w14:paraId="075A5F85">
            <w:pPr>
              <w:pStyle w:val="12"/>
              <w:numPr>
                <w:ilvl w:val="0"/>
                <w:numId w:val="63"/>
              </w:numPr>
              <w:ind w:firstLineChars="0"/>
            </w:pPr>
            <w:r>
              <w:rPr>
                <w:rFonts w:hint="eastAsia"/>
              </w:rPr>
              <w:t>报卡查看：支持在H5程序界面上以tab页的方式显示待审核、已审核、已退卡、已删卡状态下的法定传染病报卡和食源监测报卡，支持点击单个报卡查看报卡详情</w:t>
            </w:r>
          </w:p>
          <w:p w14:paraId="310F2DB6">
            <w:pPr>
              <w:pStyle w:val="12"/>
              <w:numPr>
                <w:ilvl w:val="0"/>
                <w:numId w:val="63"/>
              </w:numPr>
              <w:ind w:firstLineChars="0"/>
            </w:pPr>
            <w:r>
              <w:rPr>
                <w:rFonts w:hint="eastAsia"/>
              </w:rPr>
              <w:t>报卡审核：支持对法定传染病报卡和食源监测报卡进行审核，数据审核状态同步内网传染病系统中的患者报卡数据</w:t>
            </w:r>
          </w:p>
          <w:p w14:paraId="2E596208">
            <w:pPr>
              <w:pStyle w:val="12"/>
              <w:numPr>
                <w:ilvl w:val="0"/>
                <w:numId w:val="63"/>
              </w:numPr>
              <w:ind w:firstLineChars="0"/>
            </w:pPr>
            <w:r>
              <w:rPr>
                <w:rFonts w:hint="eastAsia"/>
              </w:rPr>
              <w:t>报卡删卡：支持对法定传染病报卡和食源监测报卡进行删卡，删卡需填写删卡原因，数据状态同步内网传染病系统中的患者报卡数据</w:t>
            </w:r>
          </w:p>
          <w:p w14:paraId="36128840">
            <w:pPr>
              <w:pStyle w:val="12"/>
              <w:numPr>
                <w:ilvl w:val="0"/>
                <w:numId w:val="63"/>
              </w:numPr>
              <w:ind w:firstLineChars="0"/>
            </w:pPr>
            <w:r>
              <w:rPr>
                <w:rFonts w:hint="eastAsia"/>
              </w:rPr>
              <w:t>报卡退卡：支持对法定传染病报卡和食源监测报卡进行退卡，退卡需填写退卡原因，数据状态同步内网传染病系统中的患者报卡数据</w:t>
            </w:r>
          </w:p>
          <w:p w14:paraId="0001D3B3">
            <w:pPr>
              <w:pStyle w:val="12"/>
              <w:numPr>
                <w:ilvl w:val="0"/>
                <w:numId w:val="63"/>
              </w:numPr>
              <w:ind w:firstLineChars="0"/>
            </w:pPr>
            <w:r>
              <w:rPr>
                <w:rFonts w:hint="eastAsia"/>
              </w:rPr>
              <w:t>支持法定传染病报卡和食源监测报卡内容界面展示适配H5程序和不同屏幕尺寸</w:t>
            </w:r>
          </w:p>
        </w:tc>
      </w:tr>
      <w:tr w14:paraId="2AE1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1BE932CF">
            <w:pPr>
              <w:jc w:val="center"/>
            </w:pPr>
            <w:r>
              <w:rPr>
                <w:rFonts w:hint="eastAsia"/>
              </w:rPr>
              <w:t>29</w:t>
            </w:r>
          </w:p>
        </w:tc>
        <w:tc>
          <w:tcPr>
            <w:tcW w:w="2258" w:type="dxa"/>
            <w:vAlign w:val="center"/>
          </w:tcPr>
          <w:p w14:paraId="5C4EF04F">
            <w:pPr>
              <w:pStyle w:val="6"/>
              <w:ind w:left="0" w:leftChars="0" w:firstLine="0" w:firstLineChars="0"/>
              <w:jc w:val="center"/>
            </w:pPr>
            <w:r>
              <w:rPr>
                <w:rFonts w:hint="eastAsia"/>
              </w:rPr>
              <w:t>知识库</w:t>
            </w:r>
          </w:p>
        </w:tc>
        <w:tc>
          <w:tcPr>
            <w:tcW w:w="6228" w:type="dxa"/>
          </w:tcPr>
          <w:p w14:paraId="5B6600FB">
            <w:pPr>
              <w:pStyle w:val="12"/>
              <w:numPr>
                <w:ilvl w:val="0"/>
                <w:numId w:val="64"/>
              </w:numPr>
              <w:ind w:firstLineChars="0"/>
            </w:pPr>
            <w:r>
              <w:t>提供在线考试平台管理模块</w:t>
            </w:r>
          </w:p>
          <w:p w14:paraId="734087CE">
            <w:pPr>
              <w:pStyle w:val="12"/>
              <w:numPr>
                <w:ilvl w:val="0"/>
                <w:numId w:val="64"/>
              </w:numPr>
              <w:ind w:firstLineChars="0"/>
            </w:pPr>
            <w:r>
              <w:t>多种文件格式学习材料提供上传和下载管理</w:t>
            </w:r>
          </w:p>
          <w:p w14:paraId="0DA6D5E3">
            <w:pPr>
              <w:pStyle w:val="12"/>
              <w:numPr>
                <w:ilvl w:val="0"/>
                <w:numId w:val="64"/>
              </w:numPr>
              <w:ind w:firstLineChars="0"/>
            </w:pPr>
            <w:r>
              <w:t>内置医院传染病及公卫考试题库数达1800+</w:t>
            </w:r>
          </w:p>
          <w:p w14:paraId="5468163E">
            <w:pPr>
              <w:pStyle w:val="12"/>
              <w:numPr>
                <w:ilvl w:val="0"/>
                <w:numId w:val="64"/>
              </w:numPr>
              <w:ind w:firstLineChars="0"/>
            </w:pPr>
            <w:r>
              <w:t>支持考试题库新增、编辑、删除、统计功能</w:t>
            </w:r>
          </w:p>
          <w:p w14:paraId="382A2BE1">
            <w:pPr>
              <w:pStyle w:val="12"/>
              <w:numPr>
                <w:ilvl w:val="0"/>
                <w:numId w:val="64"/>
              </w:numPr>
              <w:ind w:firstLineChars="0"/>
            </w:pPr>
            <w:r>
              <w:rPr>
                <w:rFonts w:hint="eastAsia"/>
              </w:rPr>
              <w:t>支持视频学习，可在线发布与查看视频，系统记录学员的有效学习时间，并对学员的学习效果进行评估。支持学习后，学员进行对应的考试测评，测评后记录保存学员的测评时间及分数</w:t>
            </w:r>
          </w:p>
          <w:p w14:paraId="44E22B08">
            <w:pPr>
              <w:pStyle w:val="12"/>
              <w:numPr>
                <w:ilvl w:val="0"/>
                <w:numId w:val="64"/>
              </w:numPr>
              <w:ind w:firstLineChars="0"/>
            </w:pPr>
            <w:r>
              <w:t>批量导入题库及题目功能</w:t>
            </w:r>
          </w:p>
          <w:p w14:paraId="3399B902">
            <w:pPr>
              <w:pStyle w:val="12"/>
              <w:numPr>
                <w:ilvl w:val="0"/>
                <w:numId w:val="64"/>
              </w:numPr>
              <w:ind w:firstLineChars="0"/>
            </w:pPr>
            <w:r>
              <w:t>对题目进行编辑、删除、新增功能</w:t>
            </w:r>
          </w:p>
          <w:p w14:paraId="2B5B592B">
            <w:pPr>
              <w:pStyle w:val="12"/>
              <w:numPr>
                <w:ilvl w:val="0"/>
                <w:numId w:val="64"/>
              </w:numPr>
              <w:ind w:firstLineChars="0"/>
            </w:pPr>
            <w:r>
              <w:t>试卷新增 、删除、编辑、导出、统计分析功能；</w:t>
            </w:r>
          </w:p>
          <w:p w14:paraId="6A789F7C">
            <w:pPr>
              <w:pStyle w:val="12"/>
              <w:numPr>
                <w:ilvl w:val="0"/>
                <w:numId w:val="64"/>
              </w:numPr>
              <w:ind w:firstLineChars="0"/>
            </w:pPr>
            <w:r>
              <w:t>系统自动随机试卷功能</w:t>
            </w:r>
          </w:p>
          <w:p w14:paraId="308B4239">
            <w:pPr>
              <w:pStyle w:val="12"/>
              <w:numPr>
                <w:ilvl w:val="0"/>
                <w:numId w:val="64"/>
              </w:numPr>
              <w:ind w:firstLineChars="0"/>
            </w:pPr>
            <w:r>
              <w:t>可以创建固定试卷功能</w:t>
            </w:r>
          </w:p>
          <w:p w14:paraId="697846F1">
            <w:pPr>
              <w:pStyle w:val="12"/>
              <w:numPr>
                <w:ilvl w:val="0"/>
                <w:numId w:val="64"/>
              </w:numPr>
              <w:ind w:firstLineChars="0"/>
            </w:pPr>
            <w:r>
              <w:t>对单选、多选、判断等多种题型自动算分、自动解析功能；</w:t>
            </w:r>
          </w:p>
          <w:p w14:paraId="46467B45">
            <w:pPr>
              <w:pStyle w:val="12"/>
              <w:numPr>
                <w:ilvl w:val="0"/>
                <w:numId w:val="64"/>
              </w:numPr>
              <w:ind w:firstLineChars="0"/>
            </w:pPr>
            <w:r>
              <w:t>对试题正确率详细分析</w:t>
            </w:r>
          </w:p>
          <w:p w14:paraId="18F3D93D">
            <w:pPr>
              <w:pStyle w:val="12"/>
              <w:numPr>
                <w:ilvl w:val="0"/>
                <w:numId w:val="64"/>
              </w:numPr>
              <w:ind w:firstLineChars="0"/>
            </w:pPr>
            <w:r>
              <w:t>对分数统计，包括最高分、最低分、低分人数、低分率、</w:t>
            </w:r>
          </w:p>
          <w:p w14:paraId="5DE1C476">
            <w:pPr>
              <w:pStyle w:val="12"/>
              <w:numPr>
                <w:ilvl w:val="0"/>
                <w:numId w:val="64"/>
              </w:numPr>
              <w:ind w:firstLineChars="0"/>
            </w:pPr>
            <w:r>
              <w:t>平均分、及格人数、及格率、优分人数、优分率及参加人数、缺考人数等</w:t>
            </w:r>
          </w:p>
          <w:p w14:paraId="393AD1C3">
            <w:pPr>
              <w:pStyle w:val="12"/>
              <w:numPr>
                <w:ilvl w:val="0"/>
                <w:numId w:val="64"/>
              </w:numPr>
              <w:ind w:firstLineChars="0"/>
            </w:pPr>
            <w:r>
              <w:t>可以按科室统计不同分数区间得分人数</w:t>
            </w:r>
          </w:p>
          <w:p w14:paraId="208DF916">
            <w:pPr>
              <w:pStyle w:val="12"/>
              <w:numPr>
                <w:ilvl w:val="0"/>
                <w:numId w:val="64"/>
              </w:numPr>
              <w:ind w:firstLineChars="0"/>
            </w:pPr>
            <w:r>
              <w:t>用户自主选择在线考试时间，考试时自动时间提示</w:t>
            </w:r>
          </w:p>
          <w:p w14:paraId="01999345">
            <w:pPr>
              <w:pStyle w:val="12"/>
              <w:numPr>
                <w:ilvl w:val="0"/>
                <w:numId w:val="64"/>
              </w:numPr>
              <w:ind w:firstLineChars="0"/>
            </w:pPr>
            <w:r>
              <w:t>试卷对不同用户、用户组配置功能</w:t>
            </w:r>
          </w:p>
          <w:p w14:paraId="7BB35C1C">
            <w:pPr>
              <w:pStyle w:val="12"/>
              <w:numPr>
                <w:ilvl w:val="0"/>
                <w:numId w:val="64"/>
              </w:numPr>
              <w:ind w:firstLineChars="0"/>
            </w:pPr>
            <w:r>
              <w:rPr>
                <w:rFonts w:hint="eastAsia"/>
              </w:rPr>
              <w:t>提供在线专题练习、自动评分、自动解析功能</w:t>
            </w:r>
          </w:p>
        </w:tc>
      </w:tr>
      <w:tr w14:paraId="7AC0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52" w:type="dxa"/>
            <w:vAlign w:val="center"/>
          </w:tcPr>
          <w:p w14:paraId="2B9710D2">
            <w:pPr>
              <w:jc w:val="center"/>
            </w:pPr>
            <w:r>
              <w:rPr>
                <w:rFonts w:hint="eastAsia"/>
              </w:rPr>
              <w:t>30</w:t>
            </w:r>
          </w:p>
        </w:tc>
        <w:tc>
          <w:tcPr>
            <w:tcW w:w="2258" w:type="dxa"/>
            <w:vAlign w:val="center"/>
          </w:tcPr>
          <w:p w14:paraId="5D6D1D68">
            <w:pPr>
              <w:pStyle w:val="6"/>
              <w:ind w:left="0" w:leftChars="0" w:firstLine="0" w:firstLineChars="0"/>
              <w:jc w:val="center"/>
            </w:pPr>
            <w:r>
              <w:rPr>
                <w:rFonts w:hint="eastAsia"/>
              </w:rPr>
              <w:t>移动预警</w:t>
            </w:r>
          </w:p>
        </w:tc>
        <w:tc>
          <w:tcPr>
            <w:tcW w:w="6228" w:type="dxa"/>
          </w:tcPr>
          <w:p w14:paraId="3E0E05CF">
            <w:pPr>
              <w:numPr>
                <w:ilvl w:val="0"/>
                <w:numId w:val="65"/>
              </w:numPr>
            </w:pPr>
            <w:r>
              <w:rPr>
                <w:rFonts w:hint="eastAsia"/>
              </w:rPr>
              <w:t>系统支持短信推送功能，能够将预警出的传染病、死因、食源、慢病等疑似病例，且医生未在规定时间内处理的自动发送短信内容到主管医生手机上</w:t>
            </w:r>
          </w:p>
          <w:p w14:paraId="3B01A6AC">
            <w:pPr>
              <w:numPr>
                <w:ilvl w:val="0"/>
                <w:numId w:val="65"/>
              </w:numPr>
            </w:pPr>
            <w:r>
              <w:rPr>
                <w:rFonts w:hint="eastAsia"/>
              </w:rPr>
              <w:t>系统支持多种短信模式：包括短信猫、移动MAS平台web server服务、移动MAS平台Http接口，医院内部短信平台</w:t>
            </w:r>
          </w:p>
          <w:p w14:paraId="4963F178">
            <w:pPr>
              <w:numPr>
                <w:ilvl w:val="0"/>
                <w:numId w:val="65"/>
              </w:numPr>
            </w:pPr>
            <w:r>
              <w:rPr>
                <w:rFonts w:hint="eastAsia"/>
              </w:rPr>
              <w:t>系统短信支持对接医院钉钉平台、医院微信公众号等</w:t>
            </w:r>
          </w:p>
          <w:p w14:paraId="1A337265">
            <w:pPr>
              <w:numPr>
                <w:ilvl w:val="0"/>
                <w:numId w:val="65"/>
              </w:numPr>
            </w:pPr>
            <w:r>
              <w:rPr>
                <w:rFonts w:hint="eastAsia"/>
              </w:rPr>
              <w:t>系统支持节假日、周末，未及时收卡处理的上报卡信息以短信的方式发送到相关管理科室人员手机上。</w:t>
            </w:r>
          </w:p>
          <w:p w14:paraId="42B85273">
            <w:pPr>
              <w:numPr>
                <w:ilvl w:val="0"/>
                <w:numId w:val="65"/>
              </w:numPr>
            </w:pPr>
            <w:r>
              <w:rPr>
                <w:rFonts w:hint="eastAsia"/>
              </w:rPr>
              <w:t>支持移动、电信、联通跨平台发送</w:t>
            </w:r>
          </w:p>
          <w:p w14:paraId="343FE3BD">
            <w:pPr>
              <w:numPr>
                <w:ilvl w:val="0"/>
                <w:numId w:val="65"/>
              </w:numPr>
            </w:pPr>
            <w:r>
              <w:rPr>
                <w:rFonts w:hint="eastAsia"/>
              </w:rPr>
              <w:t>支持根据不同类型的短信发送给不同的接收者（管床医生或是管理人员）</w:t>
            </w:r>
          </w:p>
          <w:p w14:paraId="12109AF6">
            <w:pPr>
              <w:numPr>
                <w:ilvl w:val="0"/>
                <w:numId w:val="65"/>
              </w:numPr>
            </w:pPr>
            <w:r>
              <w:rPr>
                <w:rFonts w:hint="eastAsia"/>
              </w:rPr>
              <w:t>支持自定义短信发送模板及内容</w:t>
            </w:r>
          </w:p>
          <w:p w14:paraId="221585EB">
            <w:pPr>
              <w:numPr>
                <w:ilvl w:val="0"/>
                <w:numId w:val="65"/>
              </w:numPr>
            </w:pPr>
            <w:r>
              <w:rPr>
                <w:rFonts w:hint="eastAsia"/>
              </w:rPr>
              <w:t>支持自定义短信发送时间</w:t>
            </w:r>
          </w:p>
          <w:p w14:paraId="2EBF44D7">
            <w:pPr>
              <w:numPr>
                <w:ilvl w:val="0"/>
                <w:numId w:val="65"/>
              </w:numPr>
            </w:pPr>
            <w:r>
              <w:rPr>
                <w:rFonts w:hint="eastAsia"/>
              </w:rPr>
              <w:t>国家法定节假日由系统自动判断</w:t>
            </w:r>
          </w:p>
        </w:tc>
      </w:tr>
      <w:tr w14:paraId="7831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52" w:type="dxa"/>
            <w:vAlign w:val="center"/>
          </w:tcPr>
          <w:p w14:paraId="4E126222">
            <w:pPr>
              <w:jc w:val="center"/>
            </w:pPr>
            <w:r>
              <w:rPr>
                <w:rFonts w:hint="eastAsia"/>
              </w:rPr>
              <w:t>31</w:t>
            </w:r>
          </w:p>
        </w:tc>
        <w:tc>
          <w:tcPr>
            <w:tcW w:w="2258" w:type="dxa"/>
            <w:vAlign w:val="center"/>
          </w:tcPr>
          <w:p w14:paraId="324B873F">
            <w:pPr>
              <w:pStyle w:val="6"/>
              <w:ind w:left="0" w:leftChars="0" w:firstLine="0" w:firstLineChars="0"/>
              <w:jc w:val="center"/>
            </w:pPr>
            <w:r>
              <w:rPr>
                <w:rFonts w:hint="eastAsia"/>
              </w:rPr>
              <w:t>消息干预</w:t>
            </w:r>
          </w:p>
        </w:tc>
        <w:tc>
          <w:tcPr>
            <w:tcW w:w="6228" w:type="dxa"/>
          </w:tcPr>
          <w:p w14:paraId="16904E03">
            <w:pPr>
              <w:numPr>
                <w:ilvl w:val="0"/>
                <w:numId w:val="66"/>
              </w:numPr>
            </w:pPr>
            <w:r>
              <w:rPr>
                <w:rFonts w:hint="eastAsia"/>
              </w:rPr>
              <w:t xml:space="preserve">  提供管理人员</w:t>
            </w:r>
            <w:r>
              <w:t>针对该患者</w:t>
            </w:r>
            <w:r>
              <w:rPr>
                <w:rFonts w:hint="eastAsia"/>
              </w:rPr>
              <w:t>发送消息给临床人员功能</w:t>
            </w:r>
          </w:p>
          <w:p w14:paraId="390D7F90">
            <w:pPr>
              <w:numPr>
                <w:ilvl w:val="0"/>
                <w:numId w:val="66"/>
              </w:numPr>
            </w:pPr>
            <w:r>
              <w:rPr>
                <w:rFonts w:hint="eastAsia"/>
              </w:rPr>
              <w:t xml:space="preserve">  提供临床人员针对患者发送消息给管理人员</w:t>
            </w:r>
          </w:p>
          <w:p w14:paraId="55E3932C">
            <w:pPr>
              <w:numPr>
                <w:ilvl w:val="0"/>
                <w:numId w:val="66"/>
              </w:numPr>
            </w:pPr>
            <w:r>
              <w:rPr>
                <w:rFonts w:hint="eastAsia"/>
              </w:rPr>
              <w:t xml:space="preserve">  </w:t>
            </w:r>
            <w:r>
              <w:t>支持</w:t>
            </w:r>
            <w:r>
              <w:rPr>
                <w:rFonts w:hint="eastAsia"/>
              </w:rPr>
              <w:t>干预消息模版定制</w:t>
            </w:r>
          </w:p>
          <w:p w14:paraId="1691F35A">
            <w:r>
              <w:rPr>
                <w:rFonts w:hint="eastAsia"/>
              </w:rPr>
              <w:t>4   支持临床批量进行干预消息发送</w:t>
            </w:r>
          </w:p>
        </w:tc>
      </w:tr>
      <w:tr w14:paraId="4768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852" w:type="dxa"/>
            <w:vAlign w:val="center"/>
          </w:tcPr>
          <w:p w14:paraId="1D36FED7">
            <w:pPr>
              <w:jc w:val="center"/>
              <w:rPr>
                <w:sz w:val="24"/>
              </w:rPr>
            </w:pPr>
            <w:r>
              <w:rPr>
                <w:rFonts w:hint="eastAsia"/>
              </w:rPr>
              <w:t>32</w:t>
            </w:r>
          </w:p>
        </w:tc>
        <w:tc>
          <w:tcPr>
            <w:tcW w:w="2258" w:type="dxa"/>
            <w:vAlign w:val="center"/>
          </w:tcPr>
          <w:p w14:paraId="61DB3793">
            <w:pPr>
              <w:jc w:val="center"/>
            </w:pPr>
            <w:r>
              <w:rPr>
                <w:rFonts w:hint="eastAsia"/>
              </w:rPr>
              <w:t>系统管理</w:t>
            </w:r>
          </w:p>
        </w:tc>
        <w:tc>
          <w:tcPr>
            <w:tcW w:w="6228" w:type="dxa"/>
          </w:tcPr>
          <w:p w14:paraId="31EFE875">
            <w:pPr>
              <w:numPr>
                <w:ilvl w:val="0"/>
                <w:numId w:val="67"/>
              </w:numPr>
            </w:pPr>
            <w:r>
              <w:rPr>
                <w:rFonts w:hint="eastAsia"/>
              </w:rPr>
              <w:t>提供医院信息字典、科室字典、职工字典、传染     病疾病字典、ICD-10字典等等</w:t>
            </w:r>
          </w:p>
          <w:p w14:paraId="5BB5931D">
            <w:pPr>
              <w:numPr>
                <w:ilvl w:val="0"/>
                <w:numId w:val="67"/>
              </w:numPr>
            </w:pPr>
            <w:r>
              <w:rPr>
                <w:rFonts w:hint="eastAsia"/>
              </w:rPr>
              <w:t>支持系统用户分级别、分角色、分权限管理，数据查看修改打印权限均与角色对应，保证数据安全性</w:t>
            </w:r>
          </w:p>
          <w:p w14:paraId="5FD9ABBB">
            <w:pPr>
              <w:numPr>
                <w:ilvl w:val="0"/>
                <w:numId w:val="67"/>
              </w:numPr>
            </w:pPr>
            <w:r>
              <w:rPr>
                <w:rFonts w:hint="eastAsia"/>
              </w:rPr>
              <w:t>提供多种自定义配置功能，以满足医院个性化需求，包括疾病附卡的启用与否、流调表的启用与否、各疾病规定的上报时限、是否为重点监测疾病等等。</w:t>
            </w:r>
          </w:p>
          <w:p w14:paraId="3C9E09DD">
            <w:pPr>
              <w:numPr>
                <w:ilvl w:val="0"/>
                <w:numId w:val="67"/>
              </w:numPr>
            </w:pPr>
            <w:r>
              <w:rPr>
                <w:rFonts w:hint="eastAsia"/>
              </w:rPr>
              <w:t>提供国家标准的传染病字典，支持定义各疾病的重卡验证周期，规定上报时限、是否需要填写流调表、是否填写附卡、疾病的传播途径、是否属于本阶段重点监测的传染病等等</w:t>
            </w:r>
          </w:p>
          <w:p w14:paraId="15ED3077">
            <w:pPr>
              <w:numPr>
                <w:ilvl w:val="0"/>
                <w:numId w:val="67"/>
              </w:numPr>
              <w:rPr>
                <w:rFonts w:ascii="宋体" w:hAnsi="宋体"/>
                <w:szCs w:val="21"/>
              </w:rPr>
            </w:pPr>
            <w:r>
              <w:rPr>
                <w:rFonts w:hint="eastAsia"/>
              </w:rPr>
              <w:t>无缝对接HIS的ICD-10诊断字典，支持定义各诊断名称与之对应上报的传染病名称或者其他公卫疾病类型</w:t>
            </w:r>
          </w:p>
        </w:tc>
      </w:tr>
    </w:tbl>
    <w:p w14:paraId="4E6CE876">
      <w:pPr>
        <w:autoSpaceDN w:val="0"/>
        <w:spacing w:line="360" w:lineRule="auto"/>
        <w:rPr>
          <w:b/>
          <w:sz w:val="28"/>
        </w:rPr>
      </w:pPr>
    </w:p>
    <w:p w14:paraId="431EE071">
      <w:pPr>
        <w:rPr>
          <w:b/>
          <w:sz w:val="28"/>
        </w:rPr>
      </w:pPr>
      <w:r>
        <w:rPr>
          <w:rFonts w:hint="eastAsia"/>
          <w:b/>
          <w:sz w:val="28"/>
        </w:rPr>
        <w:t>八</w:t>
      </w:r>
      <w:r>
        <w:rPr>
          <w:b/>
          <w:sz w:val="28"/>
        </w:rPr>
        <w:t>、</w:t>
      </w:r>
      <w:r>
        <w:rPr>
          <w:rFonts w:hint="eastAsia"/>
          <w:b/>
          <w:sz w:val="28"/>
        </w:rPr>
        <w:t>报名</w:t>
      </w:r>
      <w:r>
        <w:rPr>
          <w:b/>
          <w:sz w:val="28"/>
        </w:rPr>
        <w:t>文件格式</w:t>
      </w:r>
      <w:r>
        <w:rPr>
          <w:rFonts w:hint="eastAsia"/>
          <w:b/>
          <w:sz w:val="28"/>
        </w:rPr>
        <w:t>（附后）</w:t>
      </w:r>
    </w:p>
    <w:p w14:paraId="12952645">
      <w:pPr>
        <w:rPr>
          <w:sz w:val="28"/>
        </w:rPr>
      </w:pPr>
      <w:r>
        <w:rPr>
          <w:sz w:val="28"/>
        </w:rPr>
        <w:br w:type="page"/>
      </w:r>
    </w:p>
    <w:p w14:paraId="7EE9E906">
      <w:pPr>
        <w:widowControl/>
        <w:spacing w:line="720" w:lineRule="auto"/>
        <w:jc w:val="center"/>
        <w:rPr>
          <w:rFonts w:ascii="宋体" w:hAnsi="宋体" w:eastAsia="宋体"/>
          <w:b/>
          <w:bCs/>
          <w:color w:val="000000" w:themeColor="text1"/>
          <w:kern w:val="0"/>
          <w:sz w:val="72"/>
          <w:szCs w:val="72"/>
          <w14:textFill>
            <w14:solidFill>
              <w14:schemeClr w14:val="tx1"/>
            </w14:solidFill>
          </w14:textFill>
        </w:rPr>
      </w:pPr>
      <w:r>
        <w:rPr>
          <w:rFonts w:hint="eastAsia" w:ascii="宋体" w:hAnsi="宋体" w:eastAsia="宋体"/>
          <w:b/>
          <w:bCs/>
          <w:color w:val="000000" w:themeColor="text1"/>
          <w:kern w:val="0"/>
          <w:sz w:val="72"/>
          <w:szCs w:val="72"/>
          <w14:textFill>
            <w14:solidFill>
              <w14:schemeClr w14:val="tx1"/>
            </w14:solidFill>
          </w14:textFill>
        </w:rPr>
        <w:t>天津医科大学眼科医院</w:t>
      </w:r>
    </w:p>
    <w:p w14:paraId="6E9D81B7">
      <w:pPr>
        <w:widowControl/>
        <w:spacing w:line="720" w:lineRule="auto"/>
        <w:jc w:val="center"/>
        <w:rPr>
          <w:rFonts w:ascii="宋体" w:hAnsi="宋体" w:eastAsia="宋体"/>
          <w:b/>
          <w:bCs/>
          <w:color w:val="000000" w:themeColor="text1"/>
          <w:kern w:val="0"/>
          <w:sz w:val="72"/>
          <w:szCs w:val="72"/>
          <w14:textFill>
            <w14:solidFill>
              <w14:schemeClr w14:val="tx1"/>
            </w14:solidFill>
          </w14:textFill>
        </w:rPr>
      </w:pPr>
      <w:r>
        <w:rPr>
          <w:rFonts w:hint="eastAsia" w:ascii="宋体" w:hAnsi="宋体" w:eastAsia="宋体"/>
          <w:b/>
          <w:bCs/>
          <w:color w:val="000000" w:themeColor="text1"/>
          <w:kern w:val="0"/>
          <w:sz w:val="72"/>
          <w:szCs w:val="72"/>
          <w14:textFill>
            <w14:solidFill>
              <w14:schemeClr w14:val="tx1"/>
            </w14:solidFill>
          </w14:textFill>
        </w:rPr>
        <w:t>院感公卫信息化管理系统建设调研</w:t>
      </w:r>
      <w:r>
        <w:rPr>
          <w:rFonts w:ascii="宋体" w:hAnsi="宋体" w:eastAsia="宋体"/>
          <w:b/>
          <w:bCs/>
          <w:color w:val="000000" w:themeColor="text1"/>
          <w:kern w:val="0"/>
          <w:sz w:val="72"/>
          <w:szCs w:val="72"/>
          <w14:textFill>
            <w14:solidFill>
              <w14:schemeClr w14:val="tx1"/>
            </w14:solidFill>
          </w14:textFill>
        </w:rPr>
        <w:t>询价</w:t>
      </w:r>
      <w:r>
        <w:rPr>
          <w:rFonts w:hint="eastAsia" w:ascii="宋体" w:hAnsi="宋体" w:eastAsia="宋体"/>
          <w:b/>
          <w:bCs/>
          <w:color w:val="000000" w:themeColor="text1"/>
          <w:kern w:val="0"/>
          <w:sz w:val="72"/>
          <w:szCs w:val="72"/>
          <w14:textFill>
            <w14:solidFill>
              <w14:schemeClr w14:val="tx1"/>
            </w14:solidFill>
          </w14:textFill>
        </w:rPr>
        <w:t>论证会报名</w:t>
      </w:r>
      <w:r>
        <w:rPr>
          <w:rFonts w:ascii="宋体" w:hAnsi="宋体" w:eastAsia="宋体"/>
          <w:b/>
          <w:bCs/>
          <w:color w:val="000000" w:themeColor="text1"/>
          <w:kern w:val="0"/>
          <w:sz w:val="72"/>
          <w:szCs w:val="72"/>
          <w14:textFill>
            <w14:solidFill>
              <w14:schemeClr w14:val="tx1"/>
            </w14:solidFill>
          </w14:textFill>
        </w:rPr>
        <w:t>文件</w:t>
      </w:r>
    </w:p>
    <w:p w14:paraId="2B86311C">
      <w:pPr>
        <w:widowControl/>
        <w:spacing w:line="720" w:lineRule="auto"/>
        <w:jc w:val="center"/>
        <w:rPr>
          <w:rFonts w:ascii="宋体" w:hAnsi="宋体" w:eastAsia="宋体"/>
          <w:b/>
          <w:bCs/>
          <w:color w:val="000000"/>
          <w:kern w:val="0"/>
          <w:sz w:val="48"/>
          <w:szCs w:val="48"/>
        </w:rPr>
      </w:pPr>
      <w:r>
        <w:rPr>
          <w:rFonts w:hint="eastAsia" w:ascii="宋体" w:hAnsi="宋体" w:eastAsia="宋体"/>
          <w:b/>
          <w:bCs/>
          <w:color w:val="000000"/>
          <w:kern w:val="0"/>
          <w:sz w:val="28"/>
          <w:szCs w:val="48"/>
        </w:rPr>
        <w:t>（加盖</w:t>
      </w:r>
      <w:r>
        <w:rPr>
          <w:rFonts w:ascii="宋体" w:hAnsi="宋体" w:eastAsia="宋体"/>
          <w:b/>
          <w:bCs/>
          <w:color w:val="000000"/>
          <w:kern w:val="0"/>
          <w:sz w:val="28"/>
          <w:szCs w:val="48"/>
        </w:rPr>
        <w:t>公章</w:t>
      </w:r>
      <w:r>
        <w:rPr>
          <w:rFonts w:hint="eastAsia" w:ascii="宋体" w:hAnsi="宋体" w:eastAsia="宋体"/>
          <w:b/>
          <w:bCs/>
          <w:color w:val="000000"/>
          <w:kern w:val="0"/>
          <w:sz w:val="28"/>
          <w:szCs w:val="48"/>
        </w:rPr>
        <w:t>）</w:t>
      </w:r>
    </w:p>
    <w:p w14:paraId="5616BABD">
      <w:pPr>
        <w:widowControl/>
        <w:spacing w:line="360" w:lineRule="auto"/>
        <w:rPr>
          <w:rFonts w:ascii="黑体" w:hAnsi="宋体" w:eastAsia="黑体"/>
          <w:b/>
          <w:bCs/>
          <w:color w:val="000000"/>
          <w:kern w:val="0"/>
          <w:sz w:val="48"/>
          <w:szCs w:val="48"/>
        </w:rPr>
      </w:pPr>
    </w:p>
    <w:p w14:paraId="4106CE02">
      <w:pPr>
        <w:widowControl/>
        <w:spacing w:line="360" w:lineRule="auto"/>
        <w:rPr>
          <w:rFonts w:ascii="黑体" w:hAnsi="宋体" w:eastAsia="黑体"/>
          <w:b/>
          <w:bCs/>
          <w:color w:val="000000"/>
          <w:kern w:val="0"/>
          <w:sz w:val="48"/>
          <w:szCs w:val="48"/>
        </w:rPr>
      </w:pPr>
    </w:p>
    <w:p w14:paraId="3D1A0B67">
      <w:pPr>
        <w:widowControl/>
        <w:spacing w:line="360" w:lineRule="auto"/>
        <w:rPr>
          <w:rFonts w:ascii="黑体" w:hAnsi="宋体" w:eastAsia="黑体"/>
          <w:b/>
          <w:bCs/>
          <w:color w:val="000000"/>
          <w:kern w:val="0"/>
          <w:sz w:val="48"/>
          <w:szCs w:val="48"/>
        </w:rPr>
      </w:pPr>
    </w:p>
    <w:p w14:paraId="2B343EBE">
      <w:pPr>
        <w:widowControl/>
        <w:ind w:left="560" w:firstLine="420"/>
        <w:jc w:val="left"/>
        <w:rPr>
          <w:rFonts w:ascii="宋体" w:hAnsi="宋体"/>
          <w:bCs/>
          <w:color w:val="000000"/>
          <w:kern w:val="0"/>
          <w:sz w:val="28"/>
          <w:szCs w:val="28"/>
        </w:rPr>
      </w:pPr>
      <w:r>
        <w:rPr>
          <w:rFonts w:hint="eastAsia" w:ascii="宋体" w:hAnsi="宋体"/>
          <w:bCs/>
          <w:color w:val="000000"/>
          <w:kern w:val="0"/>
          <w:sz w:val="28"/>
          <w:szCs w:val="28"/>
        </w:rPr>
        <w:t>项目名称：</w:t>
      </w:r>
    </w:p>
    <w:p w14:paraId="0E57CE13">
      <w:pPr>
        <w:widowControl/>
        <w:spacing w:line="360" w:lineRule="auto"/>
        <w:ind w:firstLine="980" w:firstLineChars="350"/>
        <w:rPr>
          <w:rFonts w:ascii="宋体" w:hAnsi="宋体"/>
          <w:bCs/>
          <w:color w:val="000000"/>
          <w:kern w:val="0"/>
          <w:sz w:val="28"/>
          <w:szCs w:val="28"/>
        </w:rPr>
      </w:pPr>
      <w:r>
        <w:rPr>
          <w:rFonts w:hint="eastAsia" w:ascii="宋体" w:hAnsi="宋体"/>
          <w:bCs/>
          <w:color w:val="000000"/>
          <w:kern w:val="0"/>
          <w:sz w:val="28"/>
          <w:szCs w:val="28"/>
        </w:rPr>
        <w:t>品牌产地：</w:t>
      </w:r>
    </w:p>
    <w:p w14:paraId="59897A94">
      <w:pPr>
        <w:widowControl/>
        <w:spacing w:line="360" w:lineRule="auto"/>
        <w:ind w:firstLine="980" w:firstLineChars="350"/>
        <w:rPr>
          <w:rFonts w:ascii="宋体" w:hAnsi="宋体"/>
          <w:bCs/>
          <w:color w:val="000000"/>
          <w:kern w:val="0"/>
          <w:sz w:val="28"/>
          <w:szCs w:val="28"/>
          <w:u w:val="single"/>
        </w:rPr>
      </w:pPr>
      <w:r>
        <w:rPr>
          <w:rFonts w:hint="eastAsia" w:ascii="宋体" w:hAnsi="宋体"/>
          <w:bCs/>
          <w:color w:val="000000"/>
          <w:kern w:val="0"/>
          <w:sz w:val="28"/>
          <w:szCs w:val="28"/>
        </w:rPr>
        <w:t>规格型号：</w:t>
      </w:r>
    </w:p>
    <w:p w14:paraId="0A306B24">
      <w:pPr>
        <w:widowControl/>
        <w:spacing w:line="360" w:lineRule="auto"/>
        <w:rPr>
          <w:rFonts w:ascii="宋体" w:hAnsi="宋体"/>
          <w:bCs/>
          <w:color w:val="000000"/>
          <w:kern w:val="0"/>
          <w:sz w:val="28"/>
          <w:szCs w:val="28"/>
        </w:rPr>
      </w:pPr>
      <w:r>
        <w:rPr>
          <w:rFonts w:hint="eastAsia" w:ascii="宋体" w:hAnsi="宋体"/>
          <w:bCs/>
          <w:color w:val="000000"/>
          <w:kern w:val="0"/>
          <w:sz w:val="28"/>
          <w:szCs w:val="28"/>
        </w:rPr>
        <w:t>    供货商名称：</w:t>
      </w:r>
      <w:r>
        <w:rPr>
          <w:rFonts w:hint="eastAsia" w:ascii="宋体" w:hAnsi="宋体"/>
          <w:bCs/>
          <w:color w:val="000000"/>
          <w:kern w:val="0"/>
          <w:sz w:val="28"/>
          <w:szCs w:val="28"/>
          <w:u w:val="single"/>
        </w:rPr>
        <w:t xml:space="preserve">                         </w:t>
      </w:r>
    </w:p>
    <w:p w14:paraId="7E8B02B7">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联系人及电话：</w:t>
      </w:r>
    </w:p>
    <w:p w14:paraId="35F420FD">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日  期：</w:t>
      </w:r>
      <w:r>
        <w:rPr>
          <w:rFonts w:hint="eastAsia" w:ascii="宋体" w:hAnsi="宋体"/>
          <w:bCs/>
          <w:color w:val="000000"/>
          <w:kern w:val="0"/>
          <w:sz w:val="28"/>
          <w:szCs w:val="28"/>
          <w:u w:val="single"/>
        </w:rPr>
        <w:t xml:space="preserve">             </w:t>
      </w:r>
    </w:p>
    <w:p w14:paraId="71A26326">
      <w:pPr>
        <w:ind w:firstLine="560" w:firstLineChars="200"/>
        <w:rPr>
          <w:sz w:val="28"/>
        </w:rPr>
      </w:pPr>
    </w:p>
    <w:p w14:paraId="7DC28F74">
      <w:pPr>
        <w:widowControl/>
        <w:jc w:val="center"/>
        <w:rPr>
          <w:rFonts w:ascii="Times New Roman" w:hAnsi="Times New Roman" w:eastAsia="宋体" w:cs="Times New Roman"/>
          <w:b/>
          <w:bCs/>
          <w:sz w:val="24"/>
          <w:szCs w:val="20"/>
        </w:rPr>
        <w:sectPr>
          <w:footerReference r:id="rId3" w:type="default"/>
          <w:pgSz w:w="11906" w:h="16838"/>
          <w:pgMar w:top="1440" w:right="1800" w:bottom="1440" w:left="1800" w:header="851" w:footer="992" w:gutter="0"/>
          <w:cols w:space="425" w:num="1"/>
          <w:docGrid w:type="lines" w:linePitch="312" w:charSpace="0"/>
        </w:sectPr>
      </w:pPr>
    </w:p>
    <w:p w14:paraId="2C064FA6">
      <w:pPr>
        <w:widowControl/>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报名</w:t>
      </w:r>
      <w:r>
        <w:rPr>
          <w:rFonts w:ascii="Times New Roman" w:hAnsi="Times New Roman" w:eastAsia="宋体" w:cs="Times New Roman"/>
          <w:b/>
          <w:bCs/>
          <w:sz w:val="24"/>
          <w:szCs w:val="20"/>
        </w:rPr>
        <w:t>文件</w:t>
      </w:r>
      <w:r>
        <w:rPr>
          <w:rFonts w:hint="eastAsia" w:ascii="Times New Roman" w:hAnsi="Times New Roman" w:eastAsia="宋体" w:cs="Times New Roman"/>
          <w:b/>
          <w:bCs/>
          <w:sz w:val="24"/>
          <w:szCs w:val="20"/>
        </w:rPr>
        <w:t>目录</w:t>
      </w:r>
    </w:p>
    <w:p w14:paraId="092A6C8C">
      <w:pPr>
        <w:autoSpaceDN w:val="0"/>
        <w:spacing w:line="360" w:lineRule="auto"/>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（供应商</w:t>
      </w:r>
      <w:r>
        <w:rPr>
          <w:rFonts w:ascii="Times New Roman" w:hAnsi="Times New Roman" w:eastAsia="宋体" w:cs="Times New Roman"/>
          <w:b/>
          <w:bCs/>
          <w:sz w:val="24"/>
          <w:szCs w:val="20"/>
        </w:rPr>
        <w:t>自行编制</w:t>
      </w:r>
      <w:r>
        <w:rPr>
          <w:rFonts w:hint="eastAsia" w:ascii="Times New Roman" w:hAnsi="Times New Roman" w:eastAsia="宋体" w:cs="Times New Roman"/>
          <w:b/>
          <w:bCs/>
          <w:sz w:val="24"/>
          <w:szCs w:val="20"/>
        </w:rPr>
        <w:t>）</w:t>
      </w:r>
    </w:p>
    <w:p w14:paraId="3B92F726">
      <w:pPr>
        <w:ind w:firstLine="560" w:firstLineChars="200"/>
        <w:rPr>
          <w:sz w:val="28"/>
        </w:rPr>
      </w:pPr>
    </w:p>
    <w:p w14:paraId="102040CD">
      <w:pPr>
        <w:ind w:firstLine="560" w:firstLineChars="200"/>
        <w:rPr>
          <w:sz w:val="28"/>
        </w:rPr>
      </w:pPr>
    </w:p>
    <w:p w14:paraId="4062C3B3">
      <w:pPr>
        <w:ind w:firstLine="560" w:firstLineChars="200"/>
        <w:rPr>
          <w:sz w:val="28"/>
        </w:rPr>
      </w:pPr>
    </w:p>
    <w:p w14:paraId="27FA91F4">
      <w:pPr>
        <w:ind w:firstLine="560" w:firstLineChars="200"/>
        <w:rPr>
          <w:sz w:val="28"/>
        </w:rPr>
      </w:pPr>
    </w:p>
    <w:p w14:paraId="52BE1502">
      <w:pPr>
        <w:ind w:firstLine="560" w:firstLineChars="200"/>
        <w:rPr>
          <w:sz w:val="28"/>
        </w:rPr>
      </w:pPr>
    </w:p>
    <w:p w14:paraId="6138BF9F">
      <w:pPr>
        <w:ind w:firstLine="560" w:firstLineChars="200"/>
        <w:rPr>
          <w:sz w:val="28"/>
        </w:rPr>
      </w:pPr>
    </w:p>
    <w:p w14:paraId="591C250E">
      <w:pPr>
        <w:ind w:firstLine="560" w:firstLineChars="200"/>
        <w:rPr>
          <w:sz w:val="28"/>
        </w:rPr>
      </w:pPr>
    </w:p>
    <w:p w14:paraId="27C67250">
      <w:pPr>
        <w:ind w:firstLine="560" w:firstLineChars="200"/>
        <w:rPr>
          <w:sz w:val="28"/>
        </w:rPr>
      </w:pPr>
    </w:p>
    <w:p w14:paraId="031C33F1">
      <w:pPr>
        <w:ind w:firstLine="560" w:firstLineChars="200"/>
        <w:rPr>
          <w:sz w:val="28"/>
        </w:rPr>
      </w:pPr>
    </w:p>
    <w:p w14:paraId="6C0165F6">
      <w:pPr>
        <w:ind w:firstLine="560" w:firstLineChars="200"/>
        <w:rPr>
          <w:sz w:val="28"/>
        </w:rPr>
      </w:pPr>
    </w:p>
    <w:p w14:paraId="0CB17E2A">
      <w:pPr>
        <w:rPr>
          <w:sz w:val="28"/>
        </w:rPr>
      </w:pPr>
    </w:p>
    <w:p w14:paraId="1041DC1D">
      <w:pPr>
        <w:rPr>
          <w:sz w:val="28"/>
        </w:rPr>
      </w:pPr>
    </w:p>
    <w:p w14:paraId="49A6099E">
      <w:pPr>
        <w:rPr>
          <w:sz w:val="28"/>
        </w:rPr>
      </w:pPr>
    </w:p>
    <w:p w14:paraId="01CBDE60">
      <w:pPr>
        <w:rPr>
          <w:sz w:val="28"/>
        </w:rPr>
      </w:pPr>
    </w:p>
    <w:p w14:paraId="051EB28A">
      <w:pPr>
        <w:rPr>
          <w:sz w:val="28"/>
        </w:rPr>
      </w:pPr>
    </w:p>
    <w:p w14:paraId="05B40B51">
      <w:pPr>
        <w:rPr>
          <w:sz w:val="28"/>
        </w:rPr>
      </w:pPr>
    </w:p>
    <w:p w14:paraId="6722C8DA">
      <w:pPr>
        <w:rPr>
          <w:sz w:val="28"/>
        </w:rPr>
      </w:pPr>
    </w:p>
    <w:p w14:paraId="3C804B1C">
      <w:pPr>
        <w:rPr>
          <w:sz w:val="28"/>
        </w:rPr>
      </w:pPr>
    </w:p>
    <w:p w14:paraId="20CE440B">
      <w:pPr>
        <w:rPr>
          <w:sz w:val="28"/>
        </w:rPr>
      </w:pPr>
    </w:p>
    <w:p w14:paraId="24152FCB">
      <w:pPr>
        <w:rPr>
          <w:sz w:val="28"/>
        </w:rPr>
      </w:pPr>
    </w:p>
    <w:p w14:paraId="5BD73165">
      <w:pPr>
        <w:rPr>
          <w:sz w:val="28"/>
        </w:rPr>
      </w:pPr>
    </w:p>
    <w:p w14:paraId="698EE7CD">
      <w:pPr>
        <w:rPr>
          <w:sz w:val="28"/>
        </w:rPr>
      </w:pPr>
      <w:r>
        <w:rPr>
          <w:sz w:val="28"/>
        </w:rPr>
        <w:br w:type="page"/>
      </w:r>
    </w:p>
    <w:p w14:paraId="2A5F83D5">
      <w:pPr>
        <w:autoSpaceDN w:val="0"/>
        <w:spacing w:line="360" w:lineRule="auto"/>
        <w:jc w:val="center"/>
        <w:rPr>
          <w:b/>
          <w:bCs/>
          <w:sz w:val="24"/>
        </w:rPr>
      </w:pPr>
      <w:r>
        <w:rPr>
          <w:rFonts w:hint="eastAsia"/>
          <w:b/>
          <w:bCs/>
          <w:sz w:val="24"/>
        </w:rPr>
        <w:t>报名函</w:t>
      </w:r>
    </w:p>
    <w:p w14:paraId="2D514C7C">
      <w:pPr>
        <w:spacing w:line="360" w:lineRule="auto"/>
        <w:rPr>
          <w:sz w:val="24"/>
        </w:rPr>
      </w:pPr>
      <w:r>
        <w:rPr>
          <w:sz w:val="24"/>
        </w:rPr>
        <w:t>致：</w:t>
      </w:r>
      <w:r>
        <w:rPr>
          <w:rFonts w:hint="eastAsia"/>
          <w:sz w:val="24"/>
        </w:rPr>
        <w:t>天津医科大学眼科医院</w:t>
      </w:r>
    </w:p>
    <w:p w14:paraId="22EFFD2D">
      <w:pPr>
        <w:spacing w:line="360" w:lineRule="auto"/>
        <w:ind w:firstLine="480" w:firstLineChars="200"/>
        <w:rPr>
          <w:sz w:val="24"/>
        </w:rPr>
      </w:pPr>
      <w:r>
        <w:rPr>
          <w:sz w:val="24"/>
        </w:rPr>
        <w:t>根据贵方项目（项目编号：）的</w:t>
      </w:r>
      <w:r>
        <w:rPr>
          <w:rFonts w:hint="eastAsia"/>
          <w:sz w:val="24"/>
        </w:rPr>
        <w:t>论证会</w:t>
      </w:r>
      <w:r>
        <w:rPr>
          <w:sz w:val="24"/>
        </w:rPr>
        <w:t>邀请，签字代表（姓名</w:t>
      </w:r>
      <w:r>
        <w:rPr>
          <w:sz w:val="24"/>
          <w:lang w:val="en-GB"/>
        </w:rPr>
        <w:t>/</w:t>
      </w:r>
      <w:r>
        <w:rPr>
          <w:sz w:val="24"/>
        </w:rPr>
        <w:t>职务）经正式授权并代表</w:t>
      </w:r>
      <w:r>
        <w:rPr>
          <w:rFonts w:hint="eastAsia"/>
          <w:sz w:val="24"/>
        </w:rPr>
        <w:t>我公司</w:t>
      </w:r>
      <w:r>
        <w:rPr>
          <w:sz w:val="24"/>
        </w:rPr>
        <w:t>（</w:t>
      </w:r>
      <w:r>
        <w:rPr>
          <w:rFonts w:hint="eastAsia"/>
          <w:sz w:val="24"/>
        </w:rPr>
        <w:t>报名单位</w:t>
      </w:r>
      <w:r>
        <w:rPr>
          <w:sz w:val="24"/>
        </w:rPr>
        <w:t>名称、地址）</w:t>
      </w:r>
      <w:r>
        <w:rPr>
          <w:rFonts w:hint="eastAsia"/>
          <w:sz w:val="24"/>
        </w:rPr>
        <w:t>提交加盖公章的报名文件</w:t>
      </w:r>
      <w:r>
        <w:rPr>
          <w:sz w:val="24"/>
        </w:rPr>
        <w:t>。</w:t>
      </w:r>
    </w:p>
    <w:p w14:paraId="6BD06FCD">
      <w:pPr>
        <w:spacing w:line="360" w:lineRule="auto"/>
        <w:ind w:firstLine="480" w:firstLineChars="200"/>
        <w:rPr>
          <w:sz w:val="24"/>
        </w:rPr>
      </w:pPr>
      <w:r>
        <w:rPr>
          <w:sz w:val="24"/>
        </w:rPr>
        <w:t>据此函，签字代表宣布同意如下：</w:t>
      </w:r>
    </w:p>
    <w:p w14:paraId="365DFE1D">
      <w:pPr>
        <w:spacing w:line="360" w:lineRule="auto"/>
        <w:ind w:firstLine="480" w:firstLineChars="200"/>
        <w:rPr>
          <w:sz w:val="24"/>
        </w:rPr>
      </w:pPr>
      <w:r>
        <w:rPr>
          <w:rFonts w:hint="eastAsia"/>
          <w:sz w:val="24"/>
        </w:rPr>
        <w:t>1.产品报价为：</w:t>
      </w:r>
    </w:p>
    <w:p w14:paraId="4EEA7514">
      <w:pPr>
        <w:spacing w:line="360" w:lineRule="auto"/>
        <w:ind w:firstLine="480" w:firstLineChars="200"/>
        <w:rPr>
          <w:sz w:val="24"/>
        </w:rPr>
      </w:pPr>
      <w:r>
        <w:rPr>
          <w:rFonts w:hint="eastAsia"/>
          <w:sz w:val="24"/>
        </w:rPr>
        <w:t>第一包，￥元（人民币），大写。</w:t>
      </w:r>
    </w:p>
    <w:p w14:paraId="139A523D">
      <w:pPr>
        <w:spacing w:line="360" w:lineRule="auto"/>
        <w:ind w:firstLine="480" w:firstLineChars="200"/>
        <w:rPr>
          <w:sz w:val="24"/>
        </w:rPr>
      </w:pPr>
      <w:r>
        <w:rPr>
          <w:sz w:val="24"/>
        </w:rPr>
        <w:t>……</w:t>
      </w:r>
    </w:p>
    <w:p w14:paraId="2251BD10">
      <w:pPr>
        <w:spacing w:line="360" w:lineRule="auto"/>
        <w:ind w:firstLine="480" w:firstLineChars="200"/>
        <w:rPr>
          <w:sz w:val="24"/>
        </w:rPr>
      </w:pPr>
      <w:r>
        <w:rPr>
          <w:sz w:val="24"/>
        </w:rPr>
        <w:t>2.</w:t>
      </w:r>
      <w:r>
        <w:rPr>
          <w:rFonts w:hint="eastAsia"/>
          <w:sz w:val="24"/>
        </w:rPr>
        <w:t>我公司</w:t>
      </w:r>
      <w:r>
        <w:rPr>
          <w:sz w:val="24"/>
        </w:rPr>
        <w:t>将按</w:t>
      </w:r>
      <w:r>
        <w:rPr>
          <w:rFonts w:hint="eastAsia"/>
          <w:sz w:val="24"/>
        </w:rPr>
        <w:t>论证会通知的</w:t>
      </w:r>
      <w:r>
        <w:rPr>
          <w:sz w:val="24"/>
        </w:rPr>
        <w:t>规定履行责任和义务。</w:t>
      </w:r>
    </w:p>
    <w:p w14:paraId="34CECC8E">
      <w:pPr>
        <w:spacing w:line="360" w:lineRule="auto"/>
        <w:ind w:firstLine="480" w:firstLineChars="200"/>
        <w:rPr>
          <w:sz w:val="24"/>
        </w:rPr>
      </w:pPr>
      <w:r>
        <w:rPr>
          <w:rFonts w:hint="eastAsia"/>
          <w:sz w:val="24"/>
        </w:rPr>
        <w:t>3</w:t>
      </w:r>
      <w:r>
        <w:rPr>
          <w:sz w:val="24"/>
        </w:rPr>
        <w:t>.</w:t>
      </w:r>
      <w:r>
        <w:rPr>
          <w:rFonts w:hint="eastAsia"/>
          <w:sz w:val="24"/>
        </w:rPr>
        <w:t>我公司同意按照贵方要求</w:t>
      </w:r>
      <w:r>
        <w:rPr>
          <w:sz w:val="24"/>
        </w:rPr>
        <w:t>提供的与</w:t>
      </w:r>
      <w:r>
        <w:rPr>
          <w:rFonts w:hint="eastAsia"/>
          <w:sz w:val="24"/>
        </w:rPr>
        <w:t>论证</w:t>
      </w:r>
      <w:r>
        <w:rPr>
          <w:sz w:val="24"/>
        </w:rPr>
        <w:t>会有关的一切数据或资料</w:t>
      </w:r>
      <w:r>
        <w:rPr>
          <w:rFonts w:hint="eastAsia"/>
          <w:sz w:val="24"/>
        </w:rPr>
        <w:t>，并声明报名文件及所提供的一切资料均真实有效。由于我公司提供资料不实而造成的责任和后果由我公司自行承担。</w:t>
      </w:r>
    </w:p>
    <w:p w14:paraId="7C8A30D5">
      <w:pPr>
        <w:spacing w:line="360" w:lineRule="auto"/>
        <w:ind w:firstLine="480" w:firstLineChars="200"/>
        <w:rPr>
          <w:sz w:val="24"/>
        </w:rPr>
      </w:pPr>
      <w:r>
        <w:rPr>
          <w:rFonts w:hint="eastAsia"/>
          <w:sz w:val="24"/>
        </w:rPr>
        <w:t>4.我公司保证所投产品来自合法的供货渠道。如果提供非法渠道的商品，视为欺诈，并承担相关责任。</w:t>
      </w:r>
    </w:p>
    <w:p w14:paraId="5C8065FF">
      <w:pPr>
        <w:spacing w:line="360" w:lineRule="auto"/>
        <w:ind w:firstLine="480" w:firstLineChars="200"/>
        <w:rPr>
          <w:sz w:val="24"/>
        </w:rPr>
      </w:pPr>
      <w:r>
        <w:rPr>
          <w:rFonts w:hint="eastAsia"/>
          <w:sz w:val="24"/>
        </w:rPr>
        <w:t>5.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r>
        <w:rPr>
          <w:rFonts w:hint="eastAsia"/>
          <w:sz w:val="24"/>
          <w:szCs w:val="24"/>
        </w:rPr>
        <w:t>论证</w:t>
      </w:r>
      <w:r>
        <w:rPr>
          <w:sz w:val="24"/>
          <w:szCs w:val="24"/>
        </w:rPr>
        <w:t>会报名</w:t>
      </w:r>
      <w:r>
        <w:rPr>
          <w:rFonts w:hint="eastAsia"/>
          <w:sz w:val="24"/>
          <w:szCs w:val="24"/>
        </w:rPr>
        <w:t>截止日前3年在经营活动中没有重大违法记录</w:t>
      </w:r>
      <w:r>
        <w:rPr>
          <w:rFonts w:hint="eastAsia"/>
          <w:sz w:val="24"/>
        </w:rPr>
        <w:t>。</w:t>
      </w:r>
    </w:p>
    <w:p w14:paraId="44D5C2F9">
      <w:pPr>
        <w:spacing w:line="360" w:lineRule="auto"/>
        <w:ind w:firstLine="480" w:firstLineChars="200"/>
        <w:rPr>
          <w:sz w:val="24"/>
        </w:rPr>
      </w:pPr>
      <w:r>
        <w:rPr>
          <w:rFonts w:hint="eastAsia"/>
          <w:sz w:val="24"/>
        </w:rPr>
        <w:t>6</w:t>
      </w:r>
      <w:r>
        <w:rPr>
          <w:sz w:val="24"/>
        </w:rPr>
        <w:t>.与本</w:t>
      </w:r>
      <w:r>
        <w:rPr>
          <w:rFonts w:hint="eastAsia"/>
          <w:sz w:val="24"/>
        </w:rPr>
        <w:t>论证会</w:t>
      </w:r>
      <w:r>
        <w:rPr>
          <w:sz w:val="24"/>
        </w:rPr>
        <w:t>有关的一切正式往来通讯请寄：</w:t>
      </w:r>
    </w:p>
    <w:p w14:paraId="57A5B468">
      <w:pPr>
        <w:spacing w:line="360" w:lineRule="auto"/>
        <w:ind w:firstLine="480" w:firstLineChars="200"/>
        <w:rPr>
          <w:sz w:val="24"/>
        </w:rPr>
      </w:pPr>
      <w:r>
        <w:rPr>
          <w:sz w:val="24"/>
        </w:rPr>
        <w:t>地址：</w:t>
      </w:r>
    </w:p>
    <w:p w14:paraId="0B06CD7B">
      <w:pPr>
        <w:spacing w:line="360" w:lineRule="auto"/>
        <w:ind w:firstLine="480" w:firstLineChars="200"/>
        <w:rPr>
          <w:sz w:val="24"/>
        </w:rPr>
      </w:pPr>
      <w:r>
        <w:rPr>
          <w:sz w:val="24"/>
        </w:rPr>
        <w:t>邮政编码：</w:t>
      </w:r>
    </w:p>
    <w:p w14:paraId="1F05970A">
      <w:pPr>
        <w:spacing w:line="360" w:lineRule="auto"/>
        <w:ind w:firstLine="480" w:firstLineChars="200"/>
        <w:rPr>
          <w:sz w:val="24"/>
        </w:rPr>
      </w:pPr>
      <w:r>
        <w:rPr>
          <w:sz w:val="24"/>
        </w:rPr>
        <w:t>电话：</w:t>
      </w:r>
    </w:p>
    <w:p w14:paraId="34802CAE">
      <w:pPr>
        <w:spacing w:line="360" w:lineRule="auto"/>
        <w:ind w:firstLine="480" w:firstLineChars="200"/>
        <w:rPr>
          <w:sz w:val="24"/>
        </w:rPr>
      </w:pPr>
      <w:r>
        <w:rPr>
          <w:sz w:val="24"/>
        </w:rPr>
        <w:t>传真：</w:t>
      </w:r>
    </w:p>
    <w:p w14:paraId="343EE514">
      <w:pPr>
        <w:spacing w:line="360" w:lineRule="auto"/>
        <w:jc w:val="center"/>
        <w:rPr>
          <w:sz w:val="24"/>
        </w:rPr>
      </w:pPr>
      <w:r>
        <w:rPr>
          <w:rFonts w:hint="eastAsia"/>
          <w:sz w:val="24"/>
        </w:rPr>
        <w:t xml:space="preserve">             报名单位</w:t>
      </w:r>
      <w:r>
        <w:rPr>
          <w:sz w:val="24"/>
        </w:rPr>
        <w:t>名称：</w:t>
      </w:r>
    </w:p>
    <w:p w14:paraId="6BE7103F">
      <w:pPr>
        <w:spacing w:line="360" w:lineRule="auto"/>
        <w:ind w:firstLine="4080" w:firstLineChars="1700"/>
        <w:rPr>
          <w:sz w:val="24"/>
        </w:rPr>
      </w:pPr>
      <w:r>
        <w:rPr>
          <w:sz w:val="24"/>
        </w:rPr>
        <w:t>日期：年月日</w:t>
      </w:r>
    </w:p>
    <w:p w14:paraId="1A6734E1">
      <w:pPr>
        <w:rPr>
          <w:sz w:val="24"/>
        </w:rPr>
      </w:pPr>
      <w:r>
        <w:rPr>
          <w:rFonts w:hint="eastAsia"/>
          <w:sz w:val="24"/>
        </w:rPr>
        <w:br w:type="page"/>
      </w:r>
    </w:p>
    <w:p w14:paraId="0464561D">
      <w:pPr>
        <w:autoSpaceDN w:val="0"/>
        <w:spacing w:line="360" w:lineRule="auto"/>
        <w:jc w:val="center"/>
        <w:rPr>
          <w:b/>
          <w:bCs/>
          <w:sz w:val="24"/>
        </w:rPr>
      </w:pPr>
      <w:r>
        <w:rPr>
          <w:rFonts w:hint="eastAsia"/>
          <w:b/>
          <w:bCs/>
          <w:sz w:val="24"/>
        </w:rPr>
        <w:t>供应商及所投</w:t>
      </w:r>
      <w:r>
        <w:rPr>
          <w:b/>
          <w:bCs/>
          <w:sz w:val="24"/>
        </w:rPr>
        <w:t>产品</w:t>
      </w:r>
      <w:r>
        <w:rPr>
          <w:rFonts w:hint="eastAsia"/>
          <w:b/>
          <w:bCs/>
          <w:sz w:val="24"/>
        </w:rPr>
        <w:t>资格要求证明文件</w:t>
      </w:r>
    </w:p>
    <w:p w14:paraId="184836C2">
      <w:pPr>
        <w:numPr>
          <w:ilvl w:val="0"/>
          <w:numId w:val="68"/>
        </w:numPr>
        <w:spacing w:line="620" w:lineRule="exact"/>
        <w:rPr>
          <w:sz w:val="24"/>
        </w:rPr>
      </w:pPr>
      <w:r>
        <w:rPr>
          <w:rFonts w:hint="eastAsia"/>
          <w:sz w:val="24"/>
        </w:rPr>
        <w:t>企业营业执照</w:t>
      </w:r>
    </w:p>
    <w:p w14:paraId="25696800">
      <w:pPr>
        <w:numPr>
          <w:ilvl w:val="0"/>
          <w:numId w:val="68"/>
        </w:numPr>
        <w:spacing w:line="620" w:lineRule="exact"/>
        <w:rPr>
          <w:sz w:val="24"/>
        </w:rPr>
      </w:pPr>
      <w:r>
        <w:rPr>
          <w:rFonts w:hint="eastAsia"/>
          <w:sz w:val="24"/>
        </w:rPr>
        <w:t>企业开户许可证</w:t>
      </w:r>
    </w:p>
    <w:p w14:paraId="57C79254">
      <w:pPr>
        <w:numPr>
          <w:ilvl w:val="0"/>
          <w:numId w:val="68"/>
        </w:numPr>
        <w:spacing w:line="620" w:lineRule="exact"/>
        <w:rPr>
          <w:sz w:val="24"/>
        </w:rPr>
      </w:pPr>
      <w:r>
        <w:rPr>
          <w:rFonts w:hint="eastAsia"/>
          <w:sz w:val="24"/>
        </w:rPr>
        <w:t>2023年或2024年度财务审计报告或2024年或2025年度银行资信证明文件</w:t>
      </w:r>
    </w:p>
    <w:p w14:paraId="1E45818D">
      <w:pPr>
        <w:numPr>
          <w:ilvl w:val="0"/>
          <w:numId w:val="68"/>
        </w:numPr>
        <w:spacing w:line="620" w:lineRule="exact"/>
        <w:rPr>
          <w:sz w:val="24"/>
        </w:rPr>
      </w:pPr>
      <w:r>
        <w:rPr>
          <w:rFonts w:hint="eastAsia"/>
          <w:sz w:val="24"/>
        </w:rPr>
        <w:t>企业纳税证明</w:t>
      </w:r>
    </w:p>
    <w:p w14:paraId="6B87BA50">
      <w:pPr>
        <w:numPr>
          <w:ilvl w:val="0"/>
          <w:numId w:val="68"/>
        </w:numPr>
        <w:spacing w:line="620" w:lineRule="exact"/>
        <w:rPr>
          <w:sz w:val="24"/>
        </w:rPr>
      </w:pPr>
      <w:r>
        <w:rPr>
          <w:rFonts w:hint="eastAsia"/>
          <w:sz w:val="24"/>
        </w:rPr>
        <w:t>企业缴纳社保证明</w:t>
      </w:r>
    </w:p>
    <w:p w14:paraId="510382D3">
      <w:pPr>
        <w:numPr>
          <w:ilvl w:val="0"/>
          <w:numId w:val="68"/>
        </w:numPr>
        <w:spacing w:line="620" w:lineRule="exact"/>
        <w:rPr>
          <w:sz w:val="24"/>
        </w:rPr>
      </w:pPr>
      <w:r>
        <w:rPr>
          <w:rFonts w:hint="eastAsia"/>
          <w:sz w:val="24"/>
        </w:rPr>
        <w:t>企业无重大违法记录声明</w:t>
      </w:r>
    </w:p>
    <w:p w14:paraId="0EBECAEC">
      <w:pPr>
        <w:spacing w:line="620" w:lineRule="exact"/>
        <w:rPr>
          <w:sz w:val="24"/>
        </w:rPr>
      </w:pPr>
    </w:p>
    <w:p w14:paraId="487B7349">
      <w:pPr>
        <w:spacing w:line="360" w:lineRule="auto"/>
        <w:rPr>
          <w:sz w:val="24"/>
        </w:rPr>
      </w:pPr>
      <w:r>
        <w:rPr>
          <w:sz w:val="24"/>
        </w:rPr>
        <w:t>注：相关证明材料应附在此页后面。</w:t>
      </w:r>
      <w:r>
        <w:rPr>
          <w:rFonts w:hint="eastAsia"/>
          <w:sz w:val="24"/>
        </w:rPr>
        <w:t xml:space="preserve">             </w:t>
      </w:r>
    </w:p>
    <w:p w14:paraId="43029029">
      <w:pPr>
        <w:wordWrap w:val="0"/>
        <w:rPr>
          <w:sz w:val="24"/>
        </w:rPr>
      </w:pPr>
    </w:p>
    <w:p w14:paraId="54614A29">
      <w:pPr>
        <w:rPr>
          <w:sz w:val="28"/>
        </w:rPr>
      </w:pPr>
    </w:p>
    <w:p w14:paraId="3366FBDC">
      <w:pPr>
        <w:rPr>
          <w:sz w:val="28"/>
        </w:rPr>
      </w:pPr>
    </w:p>
    <w:p w14:paraId="10D8EF28">
      <w:pPr>
        <w:rPr>
          <w:sz w:val="28"/>
        </w:rPr>
      </w:pPr>
      <w:r>
        <w:rPr>
          <w:rFonts w:hint="eastAsia"/>
          <w:sz w:val="28"/>
        </w:rPr>
        <w:br w:type="page"/>
      </w:r>
    </w:p>
    <w:p w14:paraId="6D5B88E7">
      <w:pPr>
        <w:rPr>
          <w:sz w:val="28"/>
        </w:rPr>
      </w:pPr>
      <w:r>
        <w:rPr>
          <w:rFonts w:hint="eastAsia"/>
          <w:sz w:val="28"/>
        </w:rPr>
        <w:t>附件3</w:t>
      </w:r>
    </w:p>
    <w:p w14:paraId="6B9FE8AC">
      <w:pPr>
        <w:autoSpaceDN w:val="0"/>
        <w:spacing w:line="360" w:lineRule="auto"/>
        <w:jc w:val="center"/>
        <w:rPr>
          <w:b/>
          <w:bCs/>
          <w:sz w:val="24"/>
        </w:rPr>
      </w:pPr>
      <w:r>
        <w:rPr>
          <w:b/>
          <w:bCs/>
          <w:sz w:val="24"/>
        </w:rPr>
        <w:t>法定代表人授权书</w:t>
      </w:r>
    </w:p>
    <w:p w14:paraId="70ADF7E8">
      <w:pPr>
        <w:spacing w:line="360" w:lineRule="auto"/>
        <w:rPr>
          <w:sz w:val="24"/>
          <w:szCs w:val="21"/>
        </w:rPr>
      </w:pPr>
    </w:p>
    <w:p w14:paraId="5D0C6EFF">
      <w:pPr>
        <w:spacing w:line="360" w:lineRule="auto"/>
        <w:rPr>
          <w:sz w:val="24"/>
          <w:szCs w:val="21"/>
        </w:rPr>
      </w:pPr>
      <w:r>
        <w:rPr>
          <w:sz w:val="24"/>
          <w:szCs w:val="21"/>
        </w:rPr>
        <w:t>致：</w:t>
      </w:r>
      <w:r>
        <w:rPr>
          <w:rFonts w:hint="eastAsia"/>
          <w:sz w:val="24"/>
          <w:szCs w:val="21"/>
        </w:rPr>
        <w:t>天津医科大学眼科医院</w:t>
      </w:r>
    </w:p>
    <w:p w14:paraId="410B263F">
      <w:pPr>
        <w:snapToGrid w:val="0"/>
        <w:spacing w:line="360" w:lineRule="auto"/>
        <w:ind w:firstLine="480" w:firstLineChars="200"/>
        <w:rPr>
          <w:sz w:val="24"/>
          <w:szCs w:val="21"/>
        </w:rPr>
      </w:pPr>
      <w:r>
        <w:rPr>
          <w:sz w:val="24"/>
          <w:szCs w:val="21"/>
        </w:rPr>
        <w:t>我____________（姓名）系______________________________（</w:t>
      </w:r>
      <w:r>
        <w:rPr>
          <w:rFonts w:hint="eastAsia"/>
          <w:sz w:val="24"/>
          <w:szCs w:val="21"/>
        </w:rPr>
        <w:t>报名</w:t>
      </w:r>
      <w:r>
        <w:rPr>
          <w:sz w:val="24"/>
          <w:szCs w:val="21"/>
        </w:rPr>
        <w:t>单位名称）的法定代表人，现授权委托本单位在职职工_______________（姓名，职务）（身份证号码：____________________、联系电话：_______________）作为代表人以我方的名义参加贵</w:t>
      </w:r>
      <w:r>
        <w:rPr>
          <w:rFonts w:hint="eastAsia"/>
          <w:sz w:val="24"/>
          <w:szCs w:val="21"/>
        </w:rPr>
        <w:t>单位</w:t>
      </w:r>
      <w:r>
        <w:rPr>
          <w:sz w:val="24"/>
          <w:szCs w:val="21"/>
        </w:rPr>
        <w:t>______________________项目（项目编号：_______________）的</w:t>
      </w:r>
      <w:r>
        <w:rPr>
          <w:rFonts w:hint="eastAsia"/>
          <w:sz w:val="24"/>
          <w:szCs w:val="21"/>
        </w:rPr>
        <w:t>论证</w:t>
      </w:r>
      <w:r>
        <w:rPr>
          <w:sz w:val="24"/>
          <w:szCs w:val="21"/>
        </w:rPr>
        <w:t>活动，并代表我方全权办理针对上述项目的一切具体事务和签署相关文件。</w:t>
      </w:r>
    </w:p>
    <w:p w14:paraId="63C71128">
      <w:pPr>
        <w:snapToGrid w:val="0"/>
        <w:spacing w:line="360" w:lineRule="auto"/>
        <w:ind w:firstLine="480" w:firstLineChars="200"/>
        <w:rPr>
          <w:sz w:val="24"/>
          <w:szCs w:val="21"/>
        </w:rPr>
      </w:pPr>
      <w:r>
        <w:rPr>
          <w:sz w:val="24"/>
          <w:szCs w:val="21"/>
        </w:rPr>
        <w:t>我方对</w:t>
      </w:r>
      <w:r>
        <w:rPr>
          <w:rFonts w:hint="eastAsia"/>
          <w:sz w:val="24"/>
          <w:szCs w:val="21"/>
        </w:rPr>
        <w:t>代表人</w:t>
      </w:r>
      <w:r>
        <w:rPr>
          <w:sz w:val="24"/>
          <w:szCs w:val="21"/>
        </w:rPr>
        <w:t>的签名事项负全部责任。</w:t>
      </w:r>
    </w:p>
    <w:p w14:paraId="66EA164D">
      <w:pPr>
        <w:snapToGrid w:val="0"/>
        <w:spacing w:line="360" w:lineRule="auto"/>
        <w:ind w:firstLine="480" w:firstLineChars="200"/>
        <w:rPr>
          <w:sz w:val="24"/>
          <w:szCs w:val="21"/>
        </w:rPr>
      </w:pPr>
      <w:r>
        <w:rPr>
          <w:sz w:val="24"/>
          <w:szCs w:val="21"/>
        </w:rPr>
        <w:t>本授权书至</w:t>
      </w:r>
      <w:r>
        <w:rPr>
          <w:rFonts w:hint="eastAsia"/>
          <w:sz w:val="24"/>
          <w:szCs w:val="21"/>
        </w:rPr>
        <w:t>论证</w:t>
      </w:r>
      <w:r>
        <w:rPr>
          <w:sz w:val="24"/>
          <w:szCs w:val="21"/>
        </w:rPr>
        <w:t>会报名有效期结束前始终有效。</w:t>
      </w:r>
    </w:p>
    <w:p w14:paraId="3D6681F5">
      <w:pPr>
        <w:snapToGrid w:val="0"/>
        <w:spacing w:line="360" w:lineRule="auto"/>
        <w:ind w:firstLine="480" w:firstLineChars="200"/>
        <w:rPr>
          <w:sz w:val="24"/>
          <w:szCs w:val="21"/>
        </w:rPr>
      </w:pPr>
      <w:r>
        <w:rPr>
          <w:sz w:val="24"/>
          <w:szCs w:val="21"/>
        </w:rPr>
        <w:t>代表人无转委托权，特此委托。</w:t>
      </w:r>
    </w:p>
    <w:p w14:paraId="209462C1">
      <w:pPr>
        <w:tabs>
          <w:tab w:val="left" w:pos="3405"/>
        </w:tabs>
        <w:spacing w:line="360" w:lineRule="auto"/>
        <w:ind w:firstLine="480" w:firstLineChars="200"/>
        <w:rPr>
          <w:sz w:val="24"/>
        </w:rPr>
      </w:pPr>
      <w:r>
        <w:rPr>
          <w:sz w:val="24"/>
        </w:rPr>
        <w:tab/>
      </w:r>
    </w:p>
    <w:p w14:paraId="779D5C47">
      <w:pPr>
        <w:spacing w:line="360" w:lineRule="auto"/>
        <w:ind w:firstLine="480" w:firstLineChars="200"/>
        <w:rPr>
          <w:sz w:val="24"/>
        </w:rPr>
      </w:pPr>
    </w:p>
    <w:p w14:paraId="6AEA0BA6">
      <w:pPr>
        <w:spacing w:line="360" w:lineRule="auto"/>
        <w:ind w:firstLine="5040" w:firstLineChars="2100"/>
        <w:rPr>
          <w:sz w:val="24"/>
        </w:rPr>
      </w:pPr>
      <w:r>
        <w:rPr>
          <w:sz w:val="24"/>
        </w:rPr>
        <w:t>法定代表人（签字或盖章）：</w:t>
      </w:r>
    </w:p>
    <w:p w14:paraId="2FCDC2E3">
      <w:pPr>
        <w:spacing w:line="360" w:lineRule="auto"/>
        <w:ind w:firstLine="5040" w:firstLineChars="2100"/>
        <w:rPr>
          <w:sz w:val="24"/>
        </w:rPr>
      </w:pPr>
      <w:r>
        <w:rPr>
          <w:sz w:val="24"/>
        </w:rPr>
        <w:t>年月日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A9B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3BA4161">
            <w:pPr>
              <w:spacing w:line="360" w:lineRule="auto"/>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代表人身份证正面</w:t>
            </w:r>
          </w:p>
          <w:p w14:paraId="1B6AE196">
            <w:pPr>
              <w:spacing w:line="360" w:lineRule="auto"/>
              <w:jc w:val="left"/>
              <w:rPr>
                <w:rFonts w:ascii="Times New Roman" w:hAnsi="Times New Roman" w:eastAsia="宋体" w:cs="Times New Roman"/>
                <w:kern w:val="0"/>
                <w:sz w:val="24"/>
                <w:szCs w:val="20"/>
              </w:rPr>
            </w:pPr>
          </w:p>
          <w:p w14:paraId="6E5CE592">
            <w:pPr>
              <w:spacing w:line="360" w:lineRule="auto"/>
              <w:jc w:val="left"/>
              <w:rPr>
                <w:rFonts w:ascii="Times New Roman" w:hAnsi="Times New Roman" w:eastAsia="宋体" w:cs="Times New Roman"/>
                <w:kern w:val="0"/>
                <w:sz w:val="24"/>
                <w:szCs w:val="20"/>
              </w:rPr>
            </w:pPr>
          </w:p>
          <w:p w14:paraId="7CE00713">
            <w:pPr>
              <w:spacing w:line="360" w:lineRule="auto"/>
              <w:jc w:val="left"/>
              <w:rPr>
                <w:rFonts w:ascii="Times New Roman" w:hAnsi="Times New Roman" w:eastAsia="宋体" w:cs="Times New Roman"/>
                <w:kern w:val="0"/>
                <w:sz w:val="24"/>
                <w:szCs w:val="20"/>
              </w:rPr>
            </w:pPr>
          </w:p>
          <w:p w14:paraId="397C599E">
            <w:pPr>
              <w:spacing w:line="360" w:lineRule="auto"/>
              <w:jc w:val="left"/>
              <w:rPr>
                <w:rFonts w:ascii="Times New Roman" w:hAnsi="Times New Roman" w:eastAsia="宋体" w:cs="Times New Roman"/>
                <w:kern w:val="0"/>
                <w:sz w:val="24"/>
                <w:szCs w:val="20"/>
              </w:rPr>
            </w:pPr>
          </w:p>
          <w:p w14:paraId="7286C3A9">
            <w:pPr>
              <w:spacing w:line="360" w:lineRule="auto"/>
              <w:jc w:val="left"/>
              <w:rPr>
                <w:rFonts w:ascii="Times New Roman" w:hAnsi="Times New Roman" w:eastAsia="宋体" w:cs="Times New Roman"/>
                <w:kern w:val="0"/>
                <w:sz w:val="24"/>
                <w:szCs w:val="20"/>
              </w:rPr>
            </w:pPr>
          </w:p>
        </w:tc>
        <w:tc>
          <w:tcPr>
            <w:tcW w:w="4264" w:type="dxa"/>
          </w:tcPr>
          <w:p w14:paraId="370D0C40">
            <w:pPr>
              <w:spacing w:line="360" w:lineRule="auto"/>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代表人身份证背面</w:t>
            </w:r>
          </w:p>
        </w:tc>
      </w:tr>
    </w:tbl>
    <w:p w14:paraId="17652E07">
      <w:pPr>
        <w:spacing w:line="360" w:lineRule="auto"/>
        <w:ind w:firstLine="480" w:firstLineChars="200"/>
        <w:jc w:val="left"/>
        <w:rPr>
          <w:sz w:val="24"/>
        </w:rPr>
      </w:pPr>
      <w:r>
        <w:rPr>
          <w:rFonts w:hint="eastAsia"/>
          <w:sz w:val="24"/>
        </w:rPr>
        <w:t>此授权书填写完毕后打印，由法定代表人签字或加盖名章。</w:t>
      </w:r>
    </w:p>
    <w:p w14:paraId="1FA38A40">
      <w:pPr>
        <w:rPr>
          <w:sz w:val="28"/>
        </w:rPr>
      </w:pPr>
    </w:p>
    <w:p w14:paraId="5FFB8C92">
      <w:pPr>
        <w:rPr>
          <w:sz w:val="28"/>
        </w:rPr>
      </w:pPr>
    </w:p>
    <w:p w14:paraId="504C9647">
      <w:pPr>
        <w:rPr>
          <w:sz w:val="28"/>
        </w:rPr>
      </w:pPr>
    </w:p>
    <w:p w14:paraId="252E0872">
      <w:pPr>
        <w:rPr>
          <w:sz w:val="28"/>
        </w:rPr>
      </w:pPr>
      <w:r>
        <w:rPr>
          <w:rFonts w:hint="eastAsia"/>
          <w:sz w:val="28"/>
        </w:rPr>
        <w:br w:type="page"/>
      </w:r>
    </w:p>
    <w:p w14:paraId="7206D168">
      <w:pPr>
        <w:rPr>
          <w:sz w:val="28"/>
        </w:rPr>
      </w:pPr>
      <w:r>
        <w:rPr>
          <w:rFonts w:hint="eastAsia"/>
          <w:sz w:val="28"/>
        </w:rPr>
        <w:t>附件4</w:t>
      </w:r>
    </w:p>
    <w:p w14:paraId="0A9C7460">
      <w:pPr>
        <w:autoSpaceDN w:val="0"/>
        <w:spacing w:line="360" w:lineRule="auto"/>
        <w:jc w:val="center"/>
        <w:rPr>
          <w:b/>
          <w:bCs/>
          <w:sz w:val="24"/>
        </w:rPr>
      </w:pPr>
      <w:r>
        <w:rPr>
          <w:b/>
          <w:bCs/>
          <w:sz w:val="24"/>
        </w:rPr>
        <w:t>分项一览表</w:t>
      </w:r>
    </w:p>
    <w:p w14:paraId="2F294870">
      <w:pPr>
        <w:ind w:right="84"/>
        <w:rPr>
          <w:sz w:val="24"/>
        </w:rPr>
      </w:pPr>
    </w:p>
    <w:p w14:paraId="5DCCC80D">
      <w:pPr>
        <w:spacing w:line="460" w:lineRule="exact"/>
        <w:ind w:left="192"/>
        <w:rPr>
          <w:sz w:val="24"/>
        </w:rPr>
      </w:pPr>
      <w:r>
        <w:rPr>
          <w:sz w:val="24"/>
        </w:rPr>
        <w:t>项目名称：</w:t>
      </w:r>
    </w:p>
    <w:p w14:paraId="142392FC">
      <w:pPr>
        <w:spacing w:line="460" w:lineRule="exact"/>
        <w:ind w:left="192"/>
        <w:rPr>
          <w:sz w:val="24"/>
        </w:rPr>
      </w:pPr>
      <w:r>
        <w:rPr>
          <w:sz w:val="24"/>
        </w:rPr>
        <w:t>项目编号：</w:t>
      </w:r>
    </w:p>
    <w:p w14:paraId="33CA957B">
      <w:pPr>
        <w:spacing w:line="460" w:lineRule="exact"/>
        <w:ind w:left="192"/>
        <w:rPr>
          <w:sz w:val="24"/>
        </w:rPr>
      </w:pPr>
      <w:r>
        <w:rPr>
          <w:rFonts w:hint="eastAsia"/>
          <w:sz w:val="24"/>
        </w:rPr>
        <w:t>包号：</w:t>
      </w:r>
    </w:p>
    <w:p w14:paraId="7DD5518B">
      <w:pPr>
        <w:spacing w:line="460" w:lineRule="exact"/>
        <w:ind w:firstLine="6960" w:firstLineChars="2900"/>
        <w:rPr>
          <w:sz w:val="24"/>
        </w:rPr>
      </w:pPr>
      <w:r>
        <w:rPr>
          <w:sz w:val="24"/>
        </w:rPr>
        <w:t>单位：元</w:t>
      </w:r>
    </w:p>
    <w:tbl>
      <w:tblPr>
        <w:tblStyle w:val="7"/>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15"/>
        <w:gridCol w:w="795"/>
        <w:gridCol w:w="767"/>
        <w:gridCol w:w="737"/>
      </w:tblGrid>
      <w:tr w14:paraId="0244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BA634BC">
            <w:pPr>
              <w:widowControl/>
              <w:jc w:val="center"/>
              <w:rPr>
                <w:bCs/>
                <w:kern w:val="0"/>
                <w:sz w:val="24"/>
                <w:szCs w:val="24"/>
              </w:rPr>
            </w:pPr>
            <w:r>
              <w:rPr>
                <w:bCs/>
                <w:kern w:val="0"/>
                <w:sz w:val="24"/>
                <w:szCs w:val="24"/>
              </w:rPr>
              <w:t>项号</w:t>
            </w:r>
          </w:p>
        </w:tc>
        <w:tc>
          <w:tcPr>
            <w:tcW w:w="1348" w:type="dxa"/>
            <w:vAlign w:val="center"/>
          </w:tcPr>
          <w:p w14:paraId="3241F839">
            <w:pPr>
              <w:widowControl/>
              <w:jc w:val="center"/>
              <w:rPr>
                <w:bCs/>
                <w:kern w:val="0"/>
                <w:sz w:val="24"/>
                <w:szCs w:val="24"/>
              </w:rPr>
            </w:pPr>
            <w:r>
              <w:rPr>
                <w:bCs/>
                <w:kern w:val="0"/>
                <w:sz w:val="24"/>
                <w:szCs w:val="24"/>
              </w:rPr>
              <w:t>货物名称</w:t>
            </w:r>
          </w:p>
        </w:tc>
        <w:tc>
          <w:tcPr>
            <w:tcW w:w="716" w:type="dxa"/>
            <w:vAlign w:val="center"/>
          </w:tcPr>
          <w:p w14:paraId="27DC7A26">
            <w:pPr>
              <w:widowControl/>
              <w:jc w:val="center"/>
              <w:rPr>
                <w:bCs/>
                <w:kern w:val="0"/>
                <w:sz w:val="24"/>
                <w:szCs w:val="24"/>
              </w:rPr>
            </w:pPr>
            <w:r>
              <w:rPr>
                <w:bCs/>
                <w:kern w:val="0"/>
                <w:sz w:val="24"/>
                <w:szCs w:val="24"/>
              </w:rPr>
              <w:t>品牌</w:t>
            </w:r>
          </w:p>
        </w:tc>
        <w:tc>
          <w:tcPr>
            <w:tcW w:w="715" w:type="dxa"/>
            <w:vAlign w:val="center"/>
          </w:tcPr>
          <w:p w14:paraId="5046DCAB">
            <w:pPr>
              <w:widowControl/>
              <w:jc w:val="center"/>
              <w:rPr>
                <w:bCs/>
                <w:kern w:val="0"/>
                <w:sz w:val="24"/>
                <w:szCs w:val="24"/>
              </w:rPr>
            </w:pPr>
            <w:r>
              <w:rPr>
                <w:bCs/>
                <w:kern w:val="0"/>
                <w:sz w:val="24"/>
                <w:szCs w:val="24"/>
              </w:rPr>
              <w:t>规格型号</w:t>
            </w:r>
          </w:p>
        </w:tc>
        <w:tc>
          <w:tcPr>
            <w:tcW w:w="1230" w:type="dxa"/>
            <w:vAlign w:val="center"/>
          </w:tcPr>
          <w:p w14:paraId="498C764B">
            <w:pPr>
              <w:widowControl/>
              <w:jc w:val="center"/>
              <w:rPr>
                <w:bCs/>
                <w:kern w:val="0"/>
                <w:sz w:val="24"/>
                <w:szCs w:val="24"/>
              </w:rPr>
            </w:pPr>
            <w:r>
              <w:rPr>
                <w:bCs/>
                <w:kern w:val="0"/>
                <w:sz w:val="24"/>
                <w:szCs w:val="24"/>
              </w:rPr>
              <w:t>制造商</w:t>
            </w:r>
          </w:p>
        </w:tc>
        <w:tc>
          <w:tcPr>
            <w:tcW w:w="715" w:type="dxa"/>
            <w:vAlign w:val="center"/>
          </w:tcPr>
          <w:p w14:paraId="2CA303D9">
            <w:pPr>
              <w:widowControl/>
              <w:jc w:val="center"/>
              <w:rPr>
                <w:bCs/>
                <w:kern w:val="0"/>
                <w:sz w:val="24"/>
                <w:szCs w:val="24"/>
              </w:rPr>
            </w:pPr>
            <w:r>
              <w:rPr>
                <w:bCs/>
                <w:kern w:val="0"/>
                <w:sz w:val="24"/>
                <w:szCs w:val="24"/>
              </w:rPr>
              <w:t>产地</w:t>
            </w:r>
          </w:p>
        </w:tc>
        <w:tc>
          <w:tcPr>
            <w:tcW w:w="1235" w:type="dxa"/>
            <w:vAlign w:val="center"/>
          </w:tcPr>
          <w:p w14:paraId="04D76531">
            <w:pPr>
              <w:widowControl/>
              <w:jc w:val="center"/>
              <w:rPr>
                <w:bCs/>
                <w:kern w:val="0"/>
                <w:sz w:val="24"/>
                <w:szCs w:val="24"/>
              </w:rPr>
            </w:pPr>
            <w:r>
              <w:rPr>
                <w:bCs/>
                <w:kern w:val="0"/>
                <w:sz w:val="24"/>
                <w:szCs w:val="24"/>
              </w:rPr>
              <w:t>商品属性</w:t>
            </w:r>
          </w:p>
        </w:tc>
        <w:tc>
          <w:tcPr>
            <w:tcW w:w="715" w:type="dxa"/>
            <w:vAlign w:val="center"/>
          </w:tcPr>
          <w:p w14:paraId="5651B59B">
            <w:pPr>
              <w:widowControl/>
              <w:jc w:val="center"/>
              <w:rPr>
                <w:bCs/>
                <w:kern w:val="0"/>
                <w:sz w:val="24"/>
                <w:szCs w:val="24"/>
              </w:rPr>
            </w:pPr>
            <w:r>
              <w:rPr>
                <w:bCs/>
                <w:kern w:val="0"/>
                <w:sz w:val="24"/>
                <w:szCs w:val="24"/>
              </w:rPr>
              <w:t>单价</w:t>
            </w:r>
          </w:p>
        </w:tc>
        <w:tc>
          <w:tcPr>
            <w:tcW w:w="795" w:type="dxa"/>
            <w:vAlign w:val="center"/>
          </w:tcPr>
          <w:p w14:paraId="17B0ECFA">
            <w:pPr>
              <w:widowControl/>
              <w:jc w:val="center"/>
              <w:rPr>
                <w:bCs/>
                <w:kern w:val="0"/>
                <w:sz w:val="24"/>
                <w:szCs w:val="24"/>
              </w:rPr>
            </w:pPr>
            <w:r>
              <w:rPr>
                <w:bCs/>
                <w:kern w:val="0"/>
                <w:sz w:val="24"/>
                <w:szCs w:val="24"/>
              </w:rPr>
              <w:t>采购数量</w:t>
            </w:r>
          </w:p>
        </w:tc>
        <w:tc>
          <w:tcPr>
            <w:tcW w:w="767" w:type="dxa"/>
            <w:vAlign w:val="center"/>
          </w:tcPr>
          <w:p w14:paraId="797FFB59">
            <w:pPr>
              <w:widowControl/>
              <w:jc w:val="center"/>
              <w:rPr>
                <w:bCs/>
                <w:kern w:val="0"/>
                <w:sz w:val="24"/>
                <w:szCs w:val="24"/>
              </w:rPr>
            </w:pPr>
            <w:r>
              <w:rPr>
                <w:bCs/>
                <w:kern w:val="0"/>
                <w:sz w:val="24"/>
                <w:szCs w:val="24"/>
              </w:rPr>
              <w:t>计量单位</w:t>
            </w:r>
          </w:p>
        </w:tc>
        <w:tc>
          <w:tcPr>
            <w:tcW w:w="737" w:type="dxa"/>
            <w:vAlign w:val="center"/>
          </w:tcPr>
          <w:p w14:paraId="3DDA7EF1">
            <w:pPr>
              <w:widowControl/>
              <w:jc w:val="center"/>
              <w:rPr>
                <w:bCs/>
                <w:kern w:val="0"/>
                <w:sz w:val="24"/>
                <w:szCs w:val="24"/>
              </w:rPr>
            </w:pPr>
            <w:r>
              <w:rPr>
                <w:bCs/>
                <w:kern w:val="0"/>
                <w:sz w:val="24"/>
                <w:szCs w:val="24"/>
              </w:rPr>
              <w:t>总价</w:t>
            </w:r>
          </w:p>
        </w:tc>
      </w:tr>
      <w:tr w14:paraId="53E9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210303EF">
            <w:pPr>
              <w:widowControl/>
              <w:jc w:val="center"/>
              <w:rPr>
                <w:kern w:val="0"/>
                <w:sz w:val="24"/>
                <w:szCs w:val="24"/>
              </w:rPr>
            </w:pPr>
          </w:p>
        </w:tc>
        <w:tc>
          <w:tcPr>
            <w:tcW w:w="1348" w:type="dxa"/>
            <w:noWrap/>
            <w:vAlign w:val="center"/>
          </w:tcPr>
          <w:p w14:paraId="0BBAB754">
            <w:pPr>
              <w:widowControl/>
              <w:jc w:val="center"/>
              <w:rPr>
                <w:kern w:val="0"/>
                <w:sz w:val="24"/>
                <w:szCs w:val="24"/>
              </w:rPr>
            </w:pPr>
          </w:p>
        </w:tc>
        <w:tc>
          <w:tcPr>
            <w:tcW w:w="716" w:type="dxa"/>
            <w:noWrap/>
            <w:vAlign w:val="center"/>
          </w:tcPr>
          <w:p w14:paraId="1517D148">
            <w:pPr>
              <w:widowControl/>
              <w:jc w:val="center"/>
              <w:rPr>
                <w:kern w:val="0"/>
                <w:sz w:val="24"/>
                <w:szCs w:val="24"/>
              </w:rPr>
            </w:pPr>
          </w:p>
        </w:tc>
        <w:tc>
          <w:tcPr>
            <w:tcW w:w="715" w:type="dxa"/>
            <w:noWrap/>
            <w:vAlign w:val="center"/>
          </w:tcPr>
          <w:p w14:paraId="4DC480BC">
            <w:pPr>
              <w:widowControl/>
              <w:jc w:val="center"/>
              <w:rPr>
                <w:kern w:val="0"/>
                <w:sz w:val="24"/>
                <w:szCs w:val="24"/>
              </w:rPr>
            </w:pPr>
          </w:p>
        </w:tc>
        <w:tc>
          <w:tcPr>
            <w:tcW w:w="1230" w:type="dxa"/>
            <w:noWrap/>
            <w:vAlign w:val="center"/>
          </w:tcPr>
          <w:p w14:paraId="068B9460">
            <w:pPr>
              <w:widowControl/>
              <w:jc w:val="center"/>
              <w:rPr>
                <w:kern w:val="0"/>
                <w:sz w:val="24"/>
                <w:szCs w:val="24"/>
              </w:rPr>
            </w:pPr>
          </w:p>
        </w:tc>
        <w:tc>
          <w:tcPr>
            <w:tcW w:w="715" w:type="dxa"/>
            <w:noWrap/>
            <w:vAlign w:val="center"/>
          </w:tcPr>
          <w:p w14:paraId="33C7E5D1">
            <w:pPr>
              <w:widowControl/>
              <w:jc w:val="center"/>
              <w:rPr>
                <w:kern w:val="0"/>
                <w:sz w:val="24"/>
                <w:szCs w:val="24"/>
              </w:rPr>
            </w:pPr>
          </w:p>
        </w:tc>
        <w:tc>
          <w:tcPr>
            <w:tcW w:w="1235" w:type="dxa"/>
            <w:vAlign w:val="center"/>
          </w:tcPr>
          <w:p w14:paraId="16C84C95">
            <w:pPr>
              <w:widowControl/>
              <w:jc w:val="center"/>
              <w:rPr>
                <w:kern w:val="0"/>
                <w:sz w:val="24"/>
                <w:szCs w:val="18"/>
              </w:rPr>
            </w:pPr>
          </w:p>
        </w:tc>
        <w:tc>
          <w:tcPr>
            <w:tcW w:w="715" w:type="dxa"/>
            <w:vAlign w:val="center"/>
          </w:tcPr>
          <w:p w14:paraId="1D2EB8D0">
            <w:pPr>
              <w:widowControl/>
              <w:jc w:val="center"/>
              <w:rPr>
                <w:kern w:val="0"/>
                <w:sz w:val="24"/>
                <w:szCs w:val="18"/>
              </w:rPr>
            </w:pPr>
          </w:p>
        </w:tc>
        <w:tc>
          <w:tcPr>
            <w:tcW w:w="795" w:type="dxa"/>
            <w:noWrap/>
            <w:vAlign w:val="center"/>
          </w:tcPr>
          <w:p w14:paraId="2474BE62">
            <w:pPr>
              <w:widowControl/>
              <w:jc w:val="center"/>
              <w:rPr>
                <w:kern w:val="0"/>
                <w:sz w:val="24"/>
                <w:szCs w:val="24"/>
              </w:rPr>
            </w:pPr>
          </w:p>
        </w:tc>
        <w:tc>
          <w:tcPr>
            <w:tcW w:w="767" w:type="dxa"/>
            <w:noWrap/>
            <w:vAlign w:val="center"/>
          </w:tcPr>
          <w:p w14:paraId="2DB87FA2">
            <w:pPr>
              <w:widowControl/>
              <w:jc w:val="center"/>
              <w:rPr>
                <w:kern w:val="0"/>
                <w:sz w:val="24"/>
                <w:szCs w:val="18"/>
              </w:rPr>
            </w:pPr>
          </w:p>
        </w:tc>
        <w:tc>
          <w:tcPr>
            <w:tcW w:w="737" w:type="dxa"/>
            <w:noWrap/>
            <w:vAlign w:val="center"/>
          </w:tcPr>
          <w:p w14:paraId="1A052F03">
            <w:pPr>
              <w:widowControl/>
              <w:jc w:val="center"/>
              <w:rPr>
                <w:kern w:val="0"/>
                <w:sz w:val="24"/>
                <w:szCs w:val="24"/>
              </w:rPr>
            </w:pPr>
          </w:p>
        </w:tc>
      </w:tr>
      <w:tr w14:paraId="4B88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39153606">
            <w:pPr>
              <w:widowControl/>
              <w:jc w:val="center"/>
              <w:rPr>
                <w:kern w:val="0"/>
                <w:sz w:val="24"/>
                <w:szCs w:val="24"/>
              </w:rPr>
            </w:pPr>
          </w:p>
        </w:tc>
        <w:tc>
          <w:tcPr>
            <w:tcW w:w="1348" w:type="dxa"/>
            <w:noWrap/>
            <w:vAlign w:val="center"/>
          </w:tcPr>
          <w:p w14:paraId="7DC65E17">
            <w:pPr>
              <w:widowControl/>
              <w:jc w:val="center"/>
              <w:rPr>
                <w:kern w:val="0"/>
                <w:sz w:val="24"/>
                <w:szCs w:val="24"/>
              </w:rPr>
            </w:pPr>
          </w:p>
        </w:tc>
        <w:tc>
          <w:tcPr>
            <w:tcW w:w="716" w:type="dxa"/>
            <w:noWrap/>
            <w:vAlign w:val="center"/>
          </w:tcPr>
          <w:p w14:paraId="3E14975C">
            <w:pPr>
              <w:widowControl/>
              <w:jc w:val="center"/>
              <w:rPr>
                <w:kern w:val="0"/>
                <w:sz w:val="24"/>
                <w:szCs w:val="24"/>
              </w:rPr>
            </w:pPr>
          </w:p>
        </w:tc>
        <w:tc>
          <w:tcPr>
            <w:tcW w:w="715" w:type="dxa"/>
            <w:noWrap/>
            <w:vAlign w:val="center"/>
          </w:tcPr>
          <w:p w14:paraId="36FF79C4">
            <w:pPr>
              <w:widowControl/>
              <w:jc w:val="center"/>
              <w:rPr>
                <w:kern w:val="0"/>
                <w:sz w:val="24"/>
                <w:szCs w:val="24"/>
              </w:rPr>
            </w:pPr>
          </w:p>
        </w:tc>
        <w:tc>
          <w:tcPr>
            <w:tcW w:w="1230" w:type="dxa"/>
            <w:noWrap/>
            <w:vAlign w:val="center"/>
          </w:tcPr>
          <w:p w14:paraId="01EF29C6">
            <w:pPr>
              <w:widowControl/>
              <w:jc w:val="center"/>
              <w:rPr>
                <w:kern w:val="0"/>
                <w:sz w:val="24"/>
                <w:szCs w:val="24"/>
              </w:rPr>
            </w:pPr>
          </w:p>
        </w:tc>
        <w:tc>
          <w:tcPr>
            <w:tcW w:w="715" w:type="dxa"/>
            <w:noWrap/>
            <w:vAlign w:val="center"/>
          </w:tcPr>
          <w:p w14:paraId="4F22550A">
            <w:pPr>
              <w:widowControl/>
              <w:jc w:val="center"/>
              <w:rPr>
                <w:kern w:val="0"/>
                <w:sz w:val="24"/>
                <w:szCs w:val="24"/>
              </w:rPr>
            </w:pPr>
          </w:p>
        </w:tc>
        <w:tc>
          <w:tcPr>
            <w:tcW w:w="1235" w:type="dxa"/>
            <w:vAlign w:val="center"/>
          </w:tcPr>
          <w:p w14:paraId="73253EBE">
            <w:pPr>
              <w:widowControl/>
              <w:jc w:val="center"/>
              <w:rPr>
                <w:kern w:val="0"/>
                <w:sz w:val="24"/>
                <w:szCs w:val="18"/>
              </w:rPr>
            </w:pPr>
          </w:p>
        </w:tc>
        <w:tc>
          <w:tcPr>
            <w:tcW w:w="715" w:type="dxa"/>
            <w:vAlign w:val="center"/>
          </w:tcPr>
          <w:p w14:paraId="76E4F542">
            <w:pPr>
              <w:widowControl/>
              <w:jc w:val="center"/>
              <w:rPr>
                <w:kern w:val="0"/>
                <w:sz w:val="24"/>
                <w:szCs w:val="18"/>
              </w:rPr>
            </w:pPr>
          </w:p>
        </w:tc>
        <w:tc>
          <w:tcPr>
            <w:tcW w:w="795" w:type="dxa"/>
            <w:noWrap/>
            <w:vAlign w:val="center"/>
          </w:tcPr>
          <w:p w14:paraId="48A1D718">
            <w:pPr>
              <w:widowControl/>
              <w:jc w:val="center"/>
              <w:rPr>
                <w:kern w:val="0"/>
                <w:sz w:val="24"/>
                <w:szCs w:val="24"/>
              </w:rPr>
            </w:pPr>
          </w:p>
        </w:tc>
        <w:tc>
          <w:tcPr>
            <w:tcW w:w="767" w:type="dxa"/>
            <w:noWrap/>
            <w:vAlign w:val="center"/>
          </w:tcPr>
          <w:p w14:paraId="03C57FC6">
            <w:pPr>
              <w:widowControl/>
              <w:jc w:val="center"/>
              <w:rPr>
                <w:kern w:val="0"/>
                <w:sz w:val="24"/>
                <w:szCs w:val="24"/>
              </w:rPr>
            </w:pPr>
          </w:p>
        </w:tc>
        <w:tc>
          <w:tcPr>
            <w:tcW w:w="737" w:type="dxa"/>
            <w:noWrap/>
            <w:vAlign w:val="center"/>
          </w:tcPr>
          <w:p w14:paraId="4AC3906B">
            <w:pPr>
              <w:widowControl/>
              <w:jc w:val="center"/>
              <w:rPr>
                <w:kern w:val="0"/>
                <w:sz w:val="24"/>
                <w:szCs w:val="24"/>
              </w:rPr>
            </w:pPr>
          </w:p>
        </w:tc>
      </w:tr>
      <w:tr w14:paraId="5333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41A41216">
            <w:pPr>
              <w:widowControl/>
              <w:jc w:val="center"/>
              <w:rPr>
                <w:kern w:val="0"/>
                <w:sz w:val="24"/>
                <w:szCs w:val="24"/>
              </w:rPr>
            </w:pPr>
          </w:p>
        </w:tc>
        <w:tc>
          <w:tcPr>
            <w:tcW w:w="1348" w:type="dxa"/>
            <w:noWrap/>
            <w:vAlign w:val="center"/>
          </w:tcPr>
          <w:p w14:paraId="4E569D8C">
            <w:pPr>
              <w:widowControl/>
              <w:jc w:val="center"/>
              <w:rPr>
                <w:kern w:val="0"/>
                <w:sz w:val="24"/>
                <w:szCs w:val="24"/>
              </w:rPr>
            </w:pPr>
          </w:p>
        </w:tc>
        <w:tc>
          <w:tcPr>
            <w:tcW w:w="716" w:type="dxa"/>
            <w:noWrap/>
            <w:vAlign w:val="center"/>
          </w:tcPr>
          <w:p w14:paraId="6BE6EF9B">
            <w:pPr>
              <w:widowControl/>
              <w:jc w:val="center"/>
              <w:rPr>
                <w:kern w:val="0"/>
                <w:sz w:val="24"/>
                <w:szCs w:val="24"/>
              </w:rPr>
            </w:pPr>
          </w:p>
        </w:tc>
        <w:tc>
          <w:tcPr>
            <w:tcW w:w="715" w:type="dxa"/>
            <w:noWrap/>
            <w:vAlign w:val="center"/>
          </w:tcPr>
          <w:p w14:paraId="1582EECB">
            <w:pPr>
              <w:widowControl/>
              <w:jc w:val="center"/>
              <w:rPr>
                <w:kern w:val="0"/>
                <w:sz w:val="24"/>
                <w:szCs w:val="24"/>
              </w:rPr>
            </w:pPr>
          </w:p>
        </w:tc>
        <w:tc>
          <w:tcPr>
            <w:tcW w:w="1230" w:type="dxa"/>
            <w:noWrap/>
            <w:vAlign w:val="center"/>
          </w:tcPr>
          <w:p w14:paraId="5B0FA15C">
            <w:pPr>
              <w:widowControl/>
              <w:jc w:val="center"/>
              <w:rPr>
                <w:kern w:val="0"/>
                <w:sz w:val="24"/>
                <w:szCs w:val="24"/>
              </w:rPr>
            </w:pPr>
          </w:p>
        </w:tc>
        <w:tc>
          <w:tcPr>
            <w:tcW w:w="715" w:type="dxa"/>
            <w:noWrap/>
            <w:vAlign w:val="center"/>
          </w:tcPr>
          <w:p w14:paraId="01AE286F">
            <w:pPr>
              <w:widowControl/>
              <w:jc w:val="center"/>
              <w:rPr>
                <w:kern w:val="0"/>
                <w:sz w:val="24"/>
                <w:szCs w:val="24"/>
              </w:rPr>
            </w:pPr>
          </w:p>
        </w:tc>
        <w:tc>
          <w:tcPr>
            <w:tcW w:w="1235" w:type="dxa"/>
            <w:vAlign w:val="center"/>
          </w:tcPr>
          <w:p w14:paraId="1151CDEB">
            <w:pPr>
              <w:widowControl/>
              <w:jc w:val="center"/>
              <w:rPr>
                <w:kern w:val="0"/>
                <w:sz w:val="24"/>
                <w:szCs w:val="18"/>
              </w:rPr>
            </w:pPr>
          </w:p>
        </w:tc>
        <w:tc>
          <w:tcPr>
            <w:tcW w:w="715" w:type="dxa"/>
            <w:vAlign w:val="center"/>
          </w:tcPr>
          <w:p w14:paraId="0A556E91">
            <w:pPr>
              <w:widowControl/>
              <w:jc w:val="center"/>
              <w:rPr>
                <w:kern w:val="0"/>
                <w:sz w:val="24"/>
                <w:szCs w:val="18"/>
              </w:rPr>
            </w:pPr>
          </w:p>
        </w:tc>
        <w:tc>
          <w:tcPr>
            <w:tcW w:w="795" w:type="dxa"/>
            <w:noWrap/>
            <w:vAlign w:val="center"/>
          </w:tcPr>
          <w:p w14:paraId="0A7F7204">
            <w:pPr>
              <w:widowControl/>
              <w:jc w:val="center"/>
              <w:rPr>
                <w:kern w:val="0"/>
                <w:sz w:val="24"/>
                <w:szCs w:val="24"/>
              </w:rPr>
            </w:pPr>
          </w:p>
        </w:tc>
        <w:tc>
          <w:tcPr>
            <w:tcW w:w="767" w:type="dxa"/>
            <w:noWrap/>
            <w:vAlign w:val="center"/>
          </w:tcPr>
          <w:p w14:paraId="5645C5EA">
            <w:pPr>
              <w:widowControl/>
              <w:jc w:val="center"/>
              <w:rPr>
                <w:kern w:val="0"/>
                <w:sz w:val="24"/>
                <w:szCs w:val="24"/>
              </w:rPr>
            </w:pPr>
          </w:p>
        </w:tc>
        <w:tc>
          <w:tcPr>
            <w:tcW w:w="737" w:type="dxa"/>
            <w:noWrap/>
            <w:vAlign w:val="center"/>
          </w:tcPr>
          <w:p w14:paraId="4DC68044">
            <w:pPr>
              <w:widowControl/>
              <w:jc w:val="center"/>
              <w:rPr>
                <w:kern w:val="0"/>
                <w:sz w:val="24"/>
                <w:szCs w:val="24"/>
              </w:rPr>
            </w:pPr>
          </w:p>
        </w:tc>
      </w:tr>
      <w:tr w14:paraId="791E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E3C66CC">
            <w:pPr>
              <w:widowControl/>
              <w:jc w:val="center"/>
              <w:rPr>
                <w:kern w:val="0"/>
                <w:sz w:val="24"/>
                <w:szCs w:val="24"/>
              </w:rPr>
            </w:pPr>
          </w:p>
        </w:tc>
        <w:tc>
          <w:tcPr>
            <w:tcW w:w="1348" w:type="dxa"/>
            <w:noWrap/>
            <w:vAlign w:val="center"/>
          </w:tcPr>
          <w:p w14:paraId="6E40AACD">
            <w:pPr>
              <w:widowControl/>
              <w:jc w:val="center"/>
              <w:rPr>
                <w:kern w:val="0"/>
                <w:sz w:val="24"/>
                <w:szCs w:val="24"/>
              </w:rPr>
            </w:pPr>
          </w:p>
        </w:tc>
        <w:tc>
          <w:tcPr>
            <w:tcW w:w="716" w:type="dxa"/>
            <w:noWrap/>
            <w:vAlign w:val="center"/>
          </w:tcPr>
          <w:p w14:paraId="41E55CB4">
            <w:pPr>
              <w:widowControl/>
              <w:jc w:val="center"/>
              <w:rPr>
                <w:kern w:val="0"/>
                <w:sz w:val="24"/>
                <w:szCs w:val="24"/>
              </w:rPr>
            </w:pPr>
          </w:p>
        </w:tc>
        <w:tc>
          <w:tcPr>
            <w:tcW w:w="715" w:type="dxa"/>
            <w:noWrap/>
            <w:vAlign w:val="center"/>
          </w:tcPr>
          <w:p w14:paraId="17224454">
            <w:pPr>
              <w:widowControl/>
              <w:jc w:val="center"/>
              <w:rPr>
                <w:kern w:val="0"/>
                <w:sz w:val="24"/>
                <w:szCs w:val="24"/>
              </w:rPr>
            </w:pPr>
          </w:p>
        </w:tc>
        <w:tc>
          <w:tcPr>
            <w:tcW w:w="1230" w:type="dxa"/>
            <w:noWrap/>
            <w:vAlign w:val="center"/>
          </w:tcPr>
          <w:p w14:paraId="18A40350">
            <w:pPr>
              <w:widowControl/>
              <w:jc w:val="center"/>
              <w:rPr>
                <w:kern w:val="0"/>
                <w:sz w:val="24"/>
                <w:szCs w:val="24"/>
              </w:rPr>
            </w:pPr>
          </w:p>
        </w:tc>
        <w:tc>
          <w:tcPr>
            <w:tcW w:w="715" w:type="dxa"/>
            <w:noWrap/>
            <w:vAlign w:val="center"/>
          </w:tcPr>
          <w:p w14:paraId="671FE1C3">
            <w:pPr>
              <w:widowControl/>
              <w:jc w:val="center"/>
              <w:rPr>
                <w:kern w:val="0"/>
                <w:sz w:val="24"/>
                <w:szCs w:val="24"/>
              </w:rPr>
            </w:pPr>
          </w:p>
        </w:tc>
        <w:tc>
          <w:tcPr>
            <w:tcW w:w="1235" w:type="dxa"/>
            <w:noWrap/>
            <w:vAlign w:val="center"/>
          </w:tcPr>
          <w:p w14:paraId="4D24DD8A">
            <w:pPr>
              <w:widowControl/>
              <w:jc w:val="center"/>
              <w:rPr>
                <w:kern w:val="0"/>
                <w:sz w:val="24"/>
                <w:szCs w:val="18"/>
              </w:rPr>
            </w:pPr>
          </w:p>
        </w:tc>
        <w:tc>
          <w:tcPr>
            <w:tcW w:w="715" w:type="dxa"/>
            <w:noWrap/>
            <w:vAlign w:val="center"/>
          </w:tcPr>
          <w:p w14:paraId="1A53DFF6">
            <w:pPr>
              <w:widowControl/>
              <w:jc w:val="center"/>
              <w:rPr>
                <w:kern w:val="0"/>
                <w:sz w:val="24"/>
                <w:szCs w:val="24"/>
              </w:rPr>
            </w:pPr>
          </w:p>
        </w:tc>
        <w:tc>
          <w:tcPr>
            <w:tcW w:w="795" w:type="dxa"/>
            <w:noWrap/>
            <w:vAlign w:val="center"/>
          </w:tcPr>
          <w:p w14:paraId="1EC39844">
            <w:pPr>
              <w:widowControl/>
              <w:jc w:val="center"/>
              <w:rPr>
                <w:kern w:val="0"/>
                <w:sz w:val="24"/>
                <w:szCs w:val="24"/>
              </w:rPr>
            </w:pPr>
          </w:p>
        </w:tc>
        <w:tc>
          <w:tcPr>
            <w:tcW w:w="767" w:type="dxa"/>
            <w:noWrap/>
            <w:vAlign w:val="center"/>
          </w:tcPr>
          <w:p w14:paraId="50B52F82">
            <w:pPr>
              <w:widowControl/>
              <w:jc w:val="center"/>
              <w:rPr>
                <w:kern w:val="0"/>
                <w:sz w:val="24"/>
                <w:szCs w:val="24"/>
              </w:rPr>
            </w:pPr>
          </w:p>
        </w:tc>
        <w:tc>
          <w:tcPr>
            <w:tcW w:w="737" w:type="dxa"/>
            <w:noWrap/>
            <w:vAlign w:val="center"/>
          </w:tcPr>
          <w:p w14:paraId="51EC8104">
            <w:pPr>
              <w:widowControl/>
              <w:jc w:val="center"/>
              <w:rPr>
                <w:kern w:val="0"/>
                <w:sz w:val="24"/>
                <w:szCs w:val="24"/>
              </w:rPr>
            </w:pPr>
          </w:p>
        </w:tc>
      </w:tr>
      <w:tr w14:paraId="11D5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C8D8CD1">
            <w:pPr>
              <w:widowControl/>
              <w:jc w:val="center"/>
              <w:rPr>
                <w:kern w:val="0"/>
                <w:sz w:val="24"/>
                <w:szCs w:val="24"/>
              </w:rPr>
            </w:pPr>
          </w:p>
        </w:tc>
        <w:tc>
          <w:tcPr>
            <w:tcW w:w="1348" w:type="dxa"/>
            <w:noWrap/>
            <w:vAlign w:val="center"/>
          </w:tcPr>
          <w:p w14:paraId="7D5FDF9A">
            <w:pPr>
              <w:widowControl/>
              <w:jc w:val="center"/>
              <w:rPr>
                <w:kern w:val="0"/>
                <w:sz w:val="24"/>
                <w:szCs w:val="24"/>
              </w:rPr>
            </w:pPr>
          </w:p>
        </w:tc>
        <w:tc>
          <w:tcPr>
            <w:tcW w:w="716" w:type="dxa"/>
            <w:noWrap/>
            <w:vAlign w:val="center"/>
          </w:tcPr>
          <w:p w14:paraId="62120131">
            <w:pPr>
              <w:widowControl/>
              <w:jc w:val="center"/>
              <w:rPr>
                <w:kern w:val="0"/>
                <w:sz w:val="24"/>
                <w:szCs w:val="24"/>
              </w:rPr>
            </w:pPr>
          </w:p>
        </w:tc>
        <w:tc>
          <w:tcPr>
            <w:tcW w:w="715" w:type="dxa"/>
            <w:noWrap/>
            <w:vAlign w:val="center"/>
          </w:tcPr>
          <w:p w14:paraId="67C4A484">
            <w:pPr>
              <w:widowControl/>
              <w:jc w:val="center"/>
              <w:rPr>
                <w:kern w:val="0"/>
                <w:sz w:val="24"/>
                <w:szCs w:val="24"/>
              </w:rPr>
            </w:pPr>
          </w:p>
        </w:tc>
        <w:tc>
          <w:tcPr>
            <w:tcW w:w="1230" w:type="dxa"/>
            <w:noWrap/>
            <w:vAlign w:val="center"/>
          </w:tcPr>
          <w:p w14:paraId="7DE8557C">
            <w:pPr>
              <w:widowControl/>
              <w:jc w:val="center"/>
              <w:rPr>
                <w:kern w:val="0"/>
                <w:sz w:val="24"/>
                <w:szCs w:val="24"/>
              </w:rPr>
            </w:pPr>
          </w:p>
        </w:tc>
        <w:tc>
          <w:tcPr>
            <w:tcW w:w="715" w:type="dxa"/>
            <w:noWrap/>
            <w:vAlign w:val="center"/>
          </w:tcPr>
          <w:p w14:paraId="552467B6">
            <w:pPr>
              <w:widowControl/>
              <w:jc w:val="center"/>
              <w:rPr>
                <w:kern w:val="0"/>
                <w:sz w:val="24"/>
                <w:szCs w:val="24"/>
              </w:rPr>
            </w:pPr>
          </w:p>
        </w:tc>
        <w:tc>
          <w:tcPr>
            <w:tcW w:w="1235" w:type="dxa"/>
            <w:noWrap/>
            <w:vAlign w:val="center"/>
          </w:tcPr>
          <w:p w14:paraId="70ABA015">
            <w:pPr>
              <w:widowControl/>
              <w:jc w:val="center"/>
              <w:rPr>
                <w:kern w:val="0"/>
                <w:sz w:val="24"/>
                <w:szCs w:val="24"/>
              </w:rPr>
            </w:pPr>
          </w:p>
        </w:tc>
        <w:tc>
          <w:tcPr>
            <w:tcW w:w="715" w:type="dxa"/>
            <w:noWrap/>
            <w:vAlign w:val="center"/>
          </w:tcPr>
          <w:p w14:paraId="03294636">
            <w:pPr>
              <w:widowControl/>
              <w:jc w:val="center"/>
              <w:rPr>
                <w:kern w:val="0"/>
                <w:sz w:val="24"/>
                <w:szCs w:val="24"/>
              </w:rPr>
            </w:pPr>
          </w:p>
        </w:tc>
        <w:tc>
          <w:tcPr>
            <w:tcW w:w="795" w:type="dxa"/>
            <w:noWrap/>
            <w:vAlign w:val="center"/>
          </w:tcPr>
          <w:p w14:paraId="61772D67">
            <w:pPr>
              <w:widowControl/>
              <w:jc w:val="center"/>
              <w:rPr>
                <w:kern w:val="0"/>
                <w:sz w:val="24"/>
                <w:szCs w:val="24"/>
              </w:rPr>
            </w:pPr>
          </w:p>
        </w:tc>
        <w:tc>
          <w:tcPr>
            <w:tcW w:w="767" w:type="dxa"/>
            <w:noWrap/>
            <w:vAlign w:val="center"/>
          </w:tcPr>
          <w:p w14:paraId="3415B392">
            <w:pPr>
              <w:widowControl/>
              <w:jc w:val="center"/>
              <w:rPr>
                <w:kern w:val="0"/>
                <w:sz w:val="24"/>
                <w:szCs w:val="24"/>
              </w:rPr>
            </w:pPr>
          </w:p>
        </w:tc>
        <w:tc>
          <w:tcPr>
            <w:tcW w:w="737" w:type="dxa"/>
            <w:noWrap/>
            <w:vAlign w:val="center"/>
          </w:tcPr>
          <w:p w14:paraId="3F96A8C7">
            <w:pPr>
              <w:widowControl/>
              <w:jc w:val="center"/>
              <w:rPr>
                <w:kern w:val="0"/>
                <w:sz w:val="24"/>
                <w:szCs w:val="24"/>
              </w:rPr>
            </w:pPr>
          </w:p>
        </w:tc>
      </w:tr>
      <w:tr w14:paraId="01E5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4E105229">
            <w:pPr>
              <w:widowControl/>
              <w:jc w:val="center"/>
              <w:rPr>
                <w:kern w:val="0"/>
                <w:sz w:val="24"/>
                <w:szCs w:val="24"/>
              </w:rPr>
            </w:pPr>
          </w:p>
        </w:tc>
        <w:tc>
          <w:tcPr>
            <w:tcW w:w="1348" w:type="dxa"/>
            <w:noWrap/>
            <w:vAlign w:val="center"/>
          </w:tcPr>
          <w:p w14:paraId="632CD911">
            <w:pPr>
              <w:widowControl/>
              <w:jc w:val="center"/>
              <w:rPr>
                <w:kern w:val="0"/>
                <w:sz w:val="24"/>
                <w:szCs w:val="24"/>
              </w:rPr>
            </w:pPr>
          </w:p>
        </w:tc>
        <w:tc>
          <w:tcPr>
            <w:tcW w:w="716" w:type="dxa"/>
            <w:noWrap/>
            <w:vAlign w:val="center"/>
          </w:tcPr>
          <w:p w14:paraId="4A9049C6">
            <w:pPr>
              <w:widowControl/>
              <w:jc w:val="center"/>
              <w:rPr>
                <w:kern w:val="0"/>
                <w:sz w:val="24"/>
                <w:szCs w:val="24"/>
              </w:rPr>
            </w:pPr>
          </w:p>
        </w:tc>
        <w:tc>
          <w:tcPr>
            <w:tcW w:w="715" w:type="dxa"/>
            <w:noWrap/>
            <w:vAlign w:val="center"/>
          </w:tcPr>
          <w:p w14:paraId="1C6B20A6">
            <w:pPr>
              <w:widowControl/>
              <w:jc w:val="center"/>
              <w:rPr>
                <w:kern w:val="0"/>
                <w:sz w:val="24"/>
                <w:szCs w:val="24"/>
              </w:rPr>
            </w:pPr>
          </w:p>
        </w:tc>
        <w:tc>
          <w:tcPr>
            <w:tcW w:w="1230" w:type="dxa"/>
            <w:noWrap/>
            <w:vAlign w:val="center"/>
          </w:tcPr>
          <w:p w14:paraId="54D05379">
            <w:pPr>
              <w:widowControl/>
              <w:jc w:val="center"/>
              <w:rPr>
                <w:kern w:val="0"/>
                <w:sz w:val="24"/>
                <w:szCs w:val="24"/>
              </w:rPr>
            </w:pPr>
          </w:p>
        </w:tc>
        <w:tc>
          <w:tcPr>
            <w:tcW w:w="715" w:type="dxa"/>
            <w:noWrap/>
            <w:vAlign w:val="center"/>
          </w:tcPr>
          <w:p w14:paraId="571F3A9F">
            <w:pPr>
              <w:widowControl/>
              <w:jc w:val="center"/>
              <w:rPr>
                <w:kern w:val="0"/>
                <w:sz w:val="24"/>
                <w:szCs w:val="24"/>
              </w:rPr>
            </w:pPr>
          </w:p>
        </w:tc>
        <w:tc>
          <w:tcPr>
            <w:tcW w:w="1235" w:type="dxa"/>
            <w:noWrap/>
            <w:vAlign w:val="center"/>
          </w:tcPr>
          <w:p w14:paraId="6418D4A7">
            <w:pPr>
              <w:widowControl/>
              <w:jc w:val="center"/>
              <w:rPr>
                <w:kern w:val="0"/>
                <w:sz w:val="24"/>
                <w:szCs w:val="24"/>
              </w:rPr>
            </w:pPr>
          </w:p>
        </w:tc>
        <w:tc>
          <w:tcPr>
            <w:tcW w:w="715" w:type="dxa"/>
            <w:noWrap/>
            <w:vAlign w:val="center"/>
          </w:tcPr>
          <w:p w14:paraId="27A30447">
            <w:pPr>
              <w:widowControl/>
              <w:jc w:val="center"/>
              <w:rPr>
                <w:kern w:val="0"/>
                <w:sz w:val="24"/>
                <w:szCs w:val="24"/>
              </w:rPr>
            </w:pPr>
          </w:p>
        </w:tc>
        <w:tc>
          <w:tcPr>
            <w:tcW w:w="795" w:type="dxa"/>
            <w:noWrap/>
            <w:vAlign w:val="center"/>
          </w:tcPr>
          <w:p w14:paraId="33E7EA11">
            <w:pPr>
              <w:widowControl/>
              <w:jc w:val="center"/>
              <w:rPr>
                <w:kern w:val="0"/>
                <w:sz w:val="24"/>
                <w:szCs w:val="24"/>
              </w:rPr>
            </w:pPr>
          </w:p>
        </w:tc>
        <w:tc>
          <w:tcPr>
            <w:tcW w:w="767" w:type="dxa"/>
            <w:noWrap/>
            <w:vAlign w:val="center"/>
          </w:tcPr>
          <w:p w14:paraId="630B5295">
            <w:pPr>
              <w:widowControl/>
              <w:jc w:val="center"/>
              <w:rPr>
                <w:kern w:val="0"/>
                <w:sz w:val="24"/>
                <w:szCs w:val="24"/>
              </w:rPr>
            </w:pPr>
          </w:p>
        </w:tc>
        <w:tc>
          <w:tcPr>
            <w:tcW w:w="737" w:type="dxa"/>
            <w:noWrap/>
            <w:vAlign w:val="center"/>
          </w:tcPr>
          <w:p w14:paraId="446C181D">
            <w:pPr>
              <w:widowControl/>
              <w:jc w:val="center"/>
              <w:rPr>
                <w:kern w:val="0"/>
                <w:sz w:val="24"/>
                <w:szCs w:val="24"/>
              </w:rPr>
            </w:pPr>
          </w:p>
        </w:tc>
      </w:tr>
      <w:tr w14:paraId="214B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AB3C9AF">
            <w:pPr>
              <w:widowControl/>
              <w:jc w:val="center"/>
              <w:rPr>
                <w:kern w:val="0"/>
                <w:sz w:val="24"/>
                <w:szCs w:val="24"/>
              </w:rPr>
            </w:pPr>
          </w:p>
        </w:tc>
        <w:tc>
          <w:tcPr>
            <w:tcW w:w="1348" w:type="dxa"/>
            <w:noWrap/>
            <w:vAlign w:val="center"/>
          </w:tcPr>
          <w:p w14:paraId="0E4D3A70">
            <w:pPr>
              <w:widowControl/>
              <w:jc w:val="center"/>
              <w:rPr>
                <w:kern w:val="0"/>
                <w:sz w:val="24"/>
                <w:szCs w:val="24"/>
              </w:rPr>
            </w:pPr>
          </w:p>
        </w:tc>
        <w:tc>
          <w:tcPr>
            <w:tcW w:w="716" w:type="dxa"/>
            <w:noWrap/>
            <w:vAlign w:val="center"/>
          </w:tcPr>
          <w:p w14:paraId="43C78878">
            <w:pPr>
              <w:widowControl/>
              <w:jc w:val="center"/>
              <w:rPr>
                <w:kern w:val="0"/>
                <w:sz w:val="24"/>
                <w:szCs w:val="24"/>
              </w:rPr>
            </w:pPr>
          </w:p>
        </w:tc>
        <w:tc>
          <w:tcPr>
            <w:tcW w:w="715" w:type="dxa"/>
            <w:noWrap/>
            <w:vAlign w:val="center"/>
          </w:tcPr>
          <w:p w14:paraId="58CB3CC2">
            <w:pPr>
              <w:widowControl/>
              <w:jc w:val="center"/>
              <w:rPr>
                <w:kern w:val="0"/>
                <w:sz w:val="24"/>
                <w:szCs w:val="24"/>
              </w:rPr>
            </w:pPr>
          </w:p>
        </w:tc>
        <w:tc>
          <w:tcPr>
            <w:tcW w:w="1230" w:type="dxa"/>
            <w:noWrap/>
            <w:vAlign w:val="center"/>
          </w:tcPr>
          <w:p w14:paraId="07E6BE2A">
            <w:pPr>
              <w:widowControl/>
              <w:jc w:val="center"/>
              <w:rPr>
                <w:kern w:val="0"/>
                <w:sz w:val="24"/>
                <w:szCs w:val="24"/>
              </w:rPr>
            </w:pPr>
          </w:p>
        </w:tc>
        <w:tc>
          <w:tcPr>
            <w:tcW w:w="715" w:type="dxa"/>
            <w:noWrap/>
            <w:vAlign w:val="center"/>
          </w:tcPr>
          <w:p w14:paraId="3A1A0303">
            <w:pPr>
              <w:widowControl/>
              <w:jc w:val="center"/>
              <w:rPr>
                <w:kern w:val="0"/>
                <w:sz w:val="24"/>
                <w:szCs w:val="24"/>
              </w:rPr>
            </w:pPr>
          </w:p>
        </w:tc>
        <w:tc>
          <w:tcPr>
            <w:tcW w:w="1235" w:type="dxa"/>
            <w:noWrap/>
            <w:vAlign w:val="center"/>
          </w:tcPr>
          <w:p w14:paraId="12F254F2">
            <w:pPr>
              <w:widowControl/>
              <w:jc w:val="center"/>
              <w:rPr>
                <w:kern w:val="0"/>
                <w:sz w:val="24"/>
                <w:szCs w:val="24"/>
              </w:rPr>
            </w:pPr>
          </w:p>
        </w:tc>
        <w:tc>
          <w:tcPr>
            <w:tcW w:w="715" w:type="dxa"/>
            <w:noWrap/>
            <w:vAlign w:val="center"/>
          </w:tcPr>
          <w:p w14:paraId="75B18CFF">
            <w:pPr>
              <w:widowControl/>
              <w:jc w:val="center"/>
              <w:rPr>
                <w:kern w:val="0"/>
                <w:sz w:val="24"/>
                <w:szCs w:val="24"/>
              </w:rPr>
            </w:pPr>
          </w:p>
        </w:tc>
        <w:tc>
          <w:tcPr>
            <w:tcW w:w="795" w:type="dxa"/>
            <w:noWrap/>
            <w:vAlign w:val="center"/>
          </w:tcPr>
          <w:p w14:paraId="377AFE9C">
            <w:pPr>
              <w:widowControl/>
              <w:jc w:val="center"/>
              <w:rPr>
                <w:kern w:val="0"/>
                <w:sz w:val="24"/>
                <w:szCs w:val="24"/>
              </w:rPr>
            </w:pPr>
          </w:p>
        </w:tc>
        <w:tc>
          <w:tcPr>
            <w:tcW w:w="767" w:type="dxa"/>
            <w:noWrap/>
            <w:vAlign w:val="center"/>
          </w:tcPr>
          <w:p w14:paraId="048676C6">
            <w:pPr>
              <w:widowControl/>
              <w:jc w:val="center"/>
              <w:rPr>
                <w:kern w:val="0"/>
                <w:sz w:val="24"/>
                <w:szCs w:val="24"/>
              </w:rPr>
            </w:pPr>
          </w:p>
        </w:tc>
        <w:tc>
          <w:tcPr>
            <w:tcW w:w="737" w:type="dxa"/>
            <w:noWrap/>
            <w:vAlign w:val="center"/>
          </w:tcPr>
          <w:p w14:paraId="35874413">
            <w:pPr>
              <w:widowControl/>
              <w:jc w:val="center"/>
              <w:rPr>
                <w:kern w:val="0"/>
                <w:sz w:val="24"/>
                <w:szCs w:val="24"/>
              </w:rPr>
            </w:pPr>
          </w:p>
        </w:tc>
      </w:tr>
    </w:tbl>
    <w:p w14:paraId="646C5BCC">
      <w:pPr>
        <w:ind w:left="180"/>
        <w:rPr>
          <w:sz w:val="24"/>
        </w:rPr>
      </w:pPr>
    </w:p>
    <w:p w14:paraId="2C0A90AE">
      <w:pPr>
        <w:spacing w:line="360" w:lineRule="auto"/>
        <w:ind w:left="181"/>
        <w:rPr>
          <w:sz w:val="24"/>
          <w:szCs w:val="24"/>
        </w:rPr>
      </w:pPr>
      <w:r>
        <w:rPr>
          <w:sz w:val="24"/>
          <w:szCs w:val="24"/>
        </w:rPr>
        <w:t>注：</w:t>
      </w:r>
    </w:p>
    <w:p w14:paraId="2C5D2872">
      <w:pPr>
        <w:spacing w:line="360" w:lineRule="auto"/>
        <w:ind w:left="181"/>
        <w:rPr>
          <w:sz w:val="24"/>
          <w:szCs w:val="24"/>
        </w:rPr>
      </w:pPr>
      <w:r>
        <w:rPr>
          <w:sz w:val="24"/>
          <w:szCs w:val="24"/>
        </w:rPr>
        <w:t>1. 商品属性应在“环保产品”、“节能、节水产品”、“自主知识产权产品”、“无”四个选择项中选择填写。</w:t>
      </w:r>
    </w:p>
    <w:p w14:paraId="0CE570F6">
      <w:pPr>
        <w:spacing w:line="360" w:lineRule="auto"/>
        <w:ind w:left="181"/>
        <w:rPr>
          <w:sz w:val="24"/>
          <w:szCs w:val="24"/>
        </w:rPr>
      </w:pPr>
      <w:r>
        <w:rPr>
          <w:rFonts w:hint="eastAsia"/>
          <w:sz w:val="24"/>
          <w:szCs w:val="24"/>
        </w:rPr>
        <w:t>2. 如国产产品，产地精确到省级行政区域。如进口产品，产地精确到国家。</w:t>
      </w:r>
    </w:p>
    <w:p w14:paraId="592B5526">
      <w:pPr>
        <w:spacing w:line="360" w:lineRule="auto"/>
        <w:ind w:left="181"/>
        <w:rPr>
          <w:sz w:val="24"/>
          <w:szCs w:val="24"/>
        </w:rPr>
      </w:pPr>
    </w:p>
    <w:p w14:paraId="6E6E6D17">
      <w:pPr>
        <w:spacing w:line="360" w:lineRule="auto"/>
        <w:ind w:left="181"/>
        <w:rPr>
          <w:sz w:val="24"/>
          <w:szCs w:val="24"/>
        </w:rPr>
      </w:pPr>
    </w:p>
    <w:p w14:paraId="1D5C06D7">
      <w:pPr>
        <w:spacing w:line="360" w:lineRule="auto"/>
        <w:ind w:firstLine="4080" w:firstLineChars="1700"/>
        <w:rPr>
          <w:sz w:val="24"/>
        </w:rPr>
      </w:pPr>
      <w:r>
        <w:rPr>
          <w:rFonts w:hint="eastAsia"/>
          <w:sz w:val="24"/>
        </w:rPr>
        <w:t>报名</w:t>
      </w:r>
      <w:r>
        <w:rPr>
          <w:sz w:val="24"/>
        </w:rPr>
        <w:t>单位名称：</w:t>
      </w:r>
    </w:p>
    <w:p w14:paraId="6E7F26C4">
      <w:pPr>
        <w:spacing w:line="360" w:lineRule="auto"/>
        <w:ind w:firstLine="4080" w:firstLineChars="1700"/>
        <w:rPr>
          <w:sz w:val="24"/>
        </w:rPr>
      </w:pPr>
      <w:r>
        <w:rPr>
          <w:sz w:val="24"/>
        </w:rPr>
        <w:t>日期：年月日</w:t>
      </w:r>
    </w:p>
    <w:p w14:paraId="1EFF240B">
      <w:pPr>
        <w:rPr>
          <w:sz w:val="28"/>
        </w:rPr>
      </w:pPr>
    </w:p>
    <w:p w14:paraId="3D1670C5">
      <w:pPr>
        <w:rPr>
          <w:sz w:val="28"/>
        </w:rPr>
      </w:pPr>
    </w:p>
    <w:p w14:paraId="20F106F1">
      <w:pPr>
        <w:rPr>
          <w:sz w:val="28"/>
        </w:rPr>
      </w:pPr>
    </w:p>
    <w:p w14:paraId="59A40911">
      <w:pPr>
        <w:rPr>
          <w:sz w:val="28"/>
        </w:rPr>
      </w:pPr>
      <w:r>
        <w:rPr>
          <w:rFonts w:hint="eastAsia"/>
          <w:sz w:val="28"/>
        </w:rPr>
        <w:br w:type="page"/>
      </w:r>
    </w:p>
    <w:p w14:paraId="04FCAFE4">
      <w:pPr>
        <w:rPr>
          <w:sz w:val="28"/>
        </w:rPr>
      </w:pPr>
      <w:r>
        <w:rPr>
          <w:rFonts w:hint="eastAsia"/>
          <w:sz w:val="28"/>
        </w:rPr>
        <w:t>附件5</w:t>
      </w:r>
    </w:p>
    <w:p w14:paraId="6CF461B7">
      <w:pPr>
        <w:autoSpaceDN w:val="0"/>
        <w:spacing w:line="360" w:lineRule="auto"/>
        <w:jc w:val="center"/>
        <w:rPr>
          <w:b/>
          <w:bCs/>
          <w:sz w:val="24"/>
        </w:rPr>
      </w:pPr>
      <w:r>
        <w:rPr>
          <w:rFonts w:hint="eastAsia"/>
          <w:b/>
          <w:bCs/>
          <w:sz w:val="24"/>
        </w:rPr>
        <w:t>业绩</w:t>
      </w:r>
    </w:p>
    <w:p w14:paraId="7655A9E8">
      <w:pPr>
        <w:spacing w:line="460" w:lineRule="exact"/>
        <w:ind w:left="192"/>
        <w:rPr>
          <w:sz w:val="24"/>
        </w:rPr>
      </w:pPr>
    </w:p>
    <w:p w14:paraId="4F641002">
      <w:pPr>
        <w:spacing w:line="460" w:lineRule="exact"/>
        <w:rPr>
          <w:sz w:val="24"/>
        </w:rPr>
      </w:pPr>
      <w:r>
        <w:rPr>
          <w:sz w:val="24"/>
        </w:rPr>
        <w:t>项目名称：</w:t>
      </w:r>
    </w:p>
    <w:p w14:paraId="4CC6F7C4">
      <w:pPr>
        <w:spacing w:line="460" w:lineRule="exact"/>
        <w:rPr>
          <w:sz w:val="24"/>
        </w:rPr>
      </w:pPr>
      <w:r>
        <w:rPr>
          <w:sz w:val="24"/>
        </w:rPr>
        <w:t>项目编号：</w:t>
      </w:r>
    </w:p>
    <w:p w14:paraId="081BE848">
      <w:pPr>
        <w:spacing w:line="460" w:lineRule="exact"/>
        <w:rPr>
          <w:sz w:val="24"/>
          <w:u w:val="single"/>
        </w:rPr>
      </w:pPr>
      <w:r>
        <w:rPr>
          <w:sz w:val="24"/>
        </w:rPr>
        <w:t>包号：</w:t>
      </w:r>
    </w:p>
    <w:p w14:paraId="31AACFF9">
      <w:pPr>
        <w:spacing w:line="460" w:lineRule="exact"/>
        <w:ind w:left="192"/>
        <w:rPr>
          <w:sz w:val="24"/>
        </w:rPr>
      </w:pPr>
    </w:p>
    <w:tbl>
      <w:tblPr>
        <w:tblStyle w:val="7"/>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890"/>
        <w:gridCol w:w="699"/>
        <w:gridCol w:w="1121"/>
        <w:gridCol w:w="1315"/>
        <w:gridCol w:w="1025"/>
        <w:gridCol w:w="695"/>
        <w:gridCol w:w="2279"/>
      </w:tblGrid>
      <w:tr w14:paraId="05F0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0F957AE">
            <w:pPr>
              <w:snapToGrid w:val="0"/>
              <w:jc w:val="center"/>
              <w:rPr>
                <w:sz w:val="24"/>
              </w:rPr>
            </w:pPr>
            <w:r>
              <w:rPr>
                <w:sz w:val="24"/>
              </w:rPr>
              <w:t>序号</w:t>
            </w:r>
          </w:p>
        </w:tc>
        <w:tc>
          <w:tcPr>
            <w:tcW w:w="508" w:type="pct"/>
            <w:tcBorders>
              <w:top w:val="single" w:color="auto" w:sz="4" w:space="0"/>
              <w:left w:val="single" w:color="auto" w:sz="4" w:space="0"/>
              <w:bottom w:val="single" w:color="auto" w:sz="4" w:space="0"/>
              <w:right w:val="single" w:color="auto" w:sz="4" w:space="0"/>
            </w:tcBorders>
            <w:vAlign w:val="center"/>
          </w:tcPr>
          <w:p w14:paraId="78A567FA">
            <w:pPr>
              <w:snapToGrid w:val="0"/>
              <w:jc w:val="center"/>
              <w:rPr>
                <w:sz w:val="24"/>
              </w:rPr>
            </w:pPr>
            <w:r>
              <w:rPr>
                <w:sz w:val="24"/>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7C92E3BE">
            <w:pPr>
              <w:snapToGrid w:val="0"/>
              <w:jc w:val="center"/>
              <w:rPr>
                <w:sz w:val="24"/>
              </w:rPr>
            </w:pPr>
            <w:r>
              <w:rPr>
                <w:sz w:val="24"/>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2A37FA6B">
            <w:pPr>
              <w:snapToGrid w:val="0"/>
              <w:jc w:val="center"/>
              <w:rPr>
                <w:sz w:val="24"/>
              </w:rPr>
            </w:pPr>
            <w:r>
              <w:rPr>
                <w:sz w:val="24"/>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408EA13B">
            <w:pPr>
              <w:snapToGrid w:val="0"/>
              <w:jc w:val="center"/>
              <w:rPr>
                <w:sz w:val="24"/>
              </w:rPr>
            </w:pPr>
            <w:r>
              <w:rPr>
                <w:rFonts w:hint="eastAsia"/>
                <w:sz w:val="24"/>
              </w:rPr>
              <w:t>用户</w:t>
            </w:r>
            <w:r>
              <w:rPr>
                <w:sz w:val="24"/>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3ACC1D6A">
            <w:pPr>
              <w:snapToGrid w:val="0"/>
              <w:jc w:val="center"/>
              <w:rPr>
                <w:sz w:val="24"/>
              </w:rPr>
            </w:pPr>
            <w:r>
              <w:rPr>
                <w:sz w:val="24"/>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43914233">
            <w:pPr>
              <w:snapToGrid w:val="0"/>
              <w:jc w:val="center"/>
              <w:rPr>
                <w:sz w:val="24"/>
              </w:rPr>
            </w:pPr>
            <w:r>
              <w:rPr>
                <w:sz w:val="24"/>
              </w:rPr>
              <w:t>合同金额</w:t>
            </w:r>
          </w:p>
        </w:tc>
        <w:tc>
          <w:tcPr>
            <w:tcW w:w="1302" w:type="pct"/>
            <w:tcBorders>
              <w:top w:val="single" w:color="auto" w:sz="4" w:space="0"/>
              <w:left w:val="single" w:color="auto" w:sz="4" w:space="0"/>
              <w:bottom w:val="single" w:color="auto" w:sz="4" w:space="0"/>
              <w:right w:val="single" w:color="auto" w:sz="4" w:space="0"/>
            </w:tcBorders>
            <w:vAlign w:val="center"/>
          </w:tcPr>
          <w:p w14:paraId="36A57E70">
            <w:pPr>
              <w:snapToGrid w:val="0"/>
              <w:jc w:val="center"/>
              <w:rPr>
                <w:sz w:val="24"/>
              </w:rPr>
            </w:pPr>
            <w:r>
              <w:rPr>
                <w:rFonts w:hint="eastAsia"/>
                <w:color w:val="000000"/>
                <w:sz w:val="24"/>
              </w:rPr>
              <w:t>用户盖章的成功履行合同的相关证明材料</w:t>
            </w:r>
            <w:r>
              <w:rPr>
                <w:rFonts w:hint="eastAsia"/>
                <w:bCs/>
                <w:sz w:val="24"/>
              </w:rPr>
              <w:t>扫描件所在页码</w:t>
            </w:r>
          </w:p>
        </w:tc>
      </w:tr>
      <w:tr w14:paraId="63E6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7006F5D2">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561165DC">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747D8A67">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0F337753">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4755FD4">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5EA1617">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605E5488">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1DDDDFFE">
            <w:pPr>
              <w:snapToGrid w:val="0"/>
              <w:jc w:val="center"/>
              <w:rPr>
                <w:sz w:val="24"/>
              </w:rPr>
            </w:pPr>
          </w:p>
        </w:tc>
      </w:tr>
      <w:tr w14:paraId="1262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2854FA8F">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5F1D1870">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7A3F6E61">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E7A7C71">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6C04E8F8">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36A5DEB">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72A1C288">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2B0C428">
            <w:pPr>
              <w:snapToGrid w:val="0"/>
              <w:jc w:val="center"/>
              <w:rPr>
                <w:sz w:val="24"/>
              </w:rPr>
            </w:pPr>
          </w:p>
        </w:tc>
      </w:tr>
      <w:tr w14:paraId="5A32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6256E52">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50629F6">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0884AAF9">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49FB572">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E00CFF2">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0366894">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2256E4A9">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7A8EFAA3">
            <w:pPr>
              <w:snapToGrid w:val="0"/>
              <w:jc w:val="center"/>
              <w:rPr>
                <w:sz w:val="24"/>
              </w:rPr>
            </w:pPr>
          </w:p>
        </w:tc>
      </w:tr>
      <w:tr w14:paraId="3629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3956AC1">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62D4FAC">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3563FFE">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0EE1CA32">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7168841">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675DFE9">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731BAD42">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07D29EFD">
            <w:pPr>
              <w:snapToGrid w:val="0"/>
              <w:jc w:val="center"/>
              <w:rPr>
                <w:sz w:val="24"/>
              </w:rPr>
            </w:pPr>
          </w:p>
        </w:tc>
      </w:tr>
      <w:tr w14:paraId="2F7B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26F5A0F">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04DE9BCA">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6B0B398C">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28ABA44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BCA7FED">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29A8729">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7D3FDE1F">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16394E3E">
            <w:pPr>
              <w:snapToGrid w:val="0"/>
              <w:jc w:val="center"/>
              <w:rPr>
                <w:sz w:val="24"/>
              </w:rPr>
            </w:pPr>
          </w:p>
        </w:tc>
      </w:tr>
      <w:tr w14:paraId="11E3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29F34E6E">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614AABF">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1E76AF5">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5FEFF5C">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2975BC4">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3A8450C">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396DA4D7">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E59B0E2">
            <w:pPr>
              <w:snapToGrid w:val="0"/>
              <w:jc w:val="center"/>
              <w:rPr>
                <w:sz w:val="24"/>
              </w:rPr>
            </w:pPr>
          </w:p>
        </w:tc>
      </w:tr>
      <w:tr w14:paraId="6C32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771E5EB">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78E46EF">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843FB24">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3067662">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9F8736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B71171B">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2C903FFA">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4F31324">
            <w:pPr>
              <w:snapToGrid w:val="0"/>
              <w:jc w:val="center"/>
              <w:rPr>
                <w:sz w:val="24"/>
              </w:rPr>
            </w:pPr>
          </w:p>
        </w:tc>
      </w:tr>
      <w:tr w14:paraId="3FC7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AA35D04">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8344DFA">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9A03C66">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339E0F5">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E77F0EB">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A624002">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563E885B">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8020006">
            <w:pPr>
              <w:snapToGrid w:val="0"/>
              <w:jc w:val="center"/>
              <w:rPr>
                <w:sz w:val="24"/>
              </w:rPr>
            </w:pPr>
          </w:p>
        </w:tc>
      </w:tr>
      <w:tr w14:paraId="5471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A7ACFE1">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0485CD7F">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C29440D">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6246210">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6CD2FA9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4E57482">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21B39BD6">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026E16EB">
            <w:pPr>
              <w:snapToGrid w:val="0"/>
              <w:jc w:val="center"/>
              <w:rPr>
                <w:sz w:val="24"/>
              </w:rPr>
            </w:pPr>
          </w:p>
        </w:tc>
      </w:tr>
      <w:tr w14:paraId="693F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32DEA8E9">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302BF00">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B6619FF">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570031E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3D87B586">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A4BB584">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657F48A4">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5F12A48D">
            <w:pPr>
              <w:snapToGrid w:val="0"/>
              <w:jc w:val="center"/>
              <w:rPr>
                <w:sz w:val="24"/>
              </w:rPr>
            </w:pPr>
          </w:p>
        </w:tc>
      </w:tr>
      <w:tr w14:paraId="6A89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9206ACD">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BAE07A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E684897">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1B5A83D">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1040EC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3B7508A">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0A99A816">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3D20153">
            <w:pPr>
              <w:snapToGrid w:val="0"/>
              <w:jc w:val="center"/>
              <w:rPr>
                <w:sz w:val="24"/>
              </w:rPr>
            </w:pPr>
          </w:p>
        </w:tc>
      </w:tr>
    </w:tbl>
    <w:p w14:paraId="3D3A170F">
      <w:pPr>
        <w:spacing w:line="560" w:lineRule="exact"/>
        <w:rPr>
          <w:sz w:val="24"/>
        </w:rPr>
      </w:pPr>
      <w:r>
        <w:rPr>
          <w:rFonts w:hint="eastAsia"/>
          <w:sz w:val="24"/>
        </w:rPr>
        <w:t>注</w:t>
      </w:r>
      <w:r>
        <w:rPr>
          <w:sz w:val="24"/>
        </w:rPr>
        <w:t>：相关</w:t>
      </w:r>
      <w:r>
        <w:rPr>
          <w:rFonts w:hint="eastAsia"/>
          <w:sz w:val="24"/>
        </w:rPr>
        <w:t>证明</w:t>
      </w:r>
      <w:r>
        <w:rPr>
          <w:sz w:val="24"/>
        </w:rPr>
        <w:t>材料附后</w:t>
      </w:r>
      <w:r>
        <w:rPr>
          <w:rFonts w:hint="eastAsia"/>
          <w:sz w:val="24"/>
        </w:rPr>
        <w:t>。</w:t>
      </w:r>
    </w:p>
    <w:p w14:paraId="78937050">
      <w:pPr>
        <w:spacing w:line="560" w:lineRule="exact"/>
        <w:rPr>
          <w:sz w:val="24"/>
        </w:rPr>
      </w:pPr>
    </w:p>
    <w:p w14:paraId="4B48B369">
      <w:pPr>
        <w:spacing w:line="560" w:lineRule="exact"/>
        <w:rPr>
          <w:sz w:val="24"/>
        </w:rPr>
      </w:pPr>
    </w:p>
    <w:p w14:paraId="3F1790D8">
      <w:pPr>
        <w:spacing w:line="560" w:lineRule="exact"/>
        <w:rPr>
          <w:sz w:val="24"/>
        </w:rPr>
      </w:pPr>
    </w:p>
    <w:p w14:paraId="061C962C">
      <w:pPr>
        <w:spacing w:line="360" w:lineRule="auto"/>
        <w:ind w:firstLine="4080" w:firstLineChars="1700"/>
        <w:rPr>
          <w:sz w:val="24"/>
        </w:rPr>
      </w:pPr>
      <w:r>
        <w:rPr>
          <w:rFonts w:hint="eastAsia"/>
          <w:sz w:val="24"/>
        </w:rPr>
        <w:t>报名单位</w:t>
      </w:r>
      <w:r>
        <w:rPr>
          <w:sz w:val="24"/>
        </w:rPr>
        <w:t>名称：</w:t>
      </w:r>
    </w:p>
    <w:p w14:paraId="11B9D873">
      <w:pPr>
        <w:spacing w:line="360" w:lineRule="auto"/>
        <w:ind w:firstLine="4080" w:firstLineChars="1700"/>
        <w:rPr>
          <w:sz w:val="24"/>
        </w:rPr>
      </w:pPr>
      <w:r>
        <w:rPr>
          <w:sz w:val="24"/>
        </w:rPr>
        <w:t>日期：年月日</w:t>
      </w:r>
    </w:p>
    <w:p w14:paraId="21B16BAD">
      <w:pPr>
        <w:rPr>
          <w:sz w:val="28"/>
        </w:rPr>
      </w:pPr>
    </w:p>
    <w:p w14:paraId="2E7C92A8">
      <w:pPr>
        <w:rPr>
          <w:sz w:val="28"/>
        </w:rPr>
      </w:pPr>
    </w:p>
    <w:p w14:paraId="7C130374">
      <w:pPr>
        <w:rPr>
          <w:sz w:val="28"/>
        </w:rPr>
      </w:pPr>
    </w:p>
    <w:p w14:paraId="007883D6">
      <w:pPr>
        <w:rPr>
          <w:sz w:val="28"/>
        </w:rPr>
      </w:pPr>
      <w:r>
        <w:rPr>
          <w:sz w:val="28"/>
        </w:rPr>
        <w:br w:type="page"/>
      </w:r>
    </w:p>
    <w:p w14:paraId="2A66649D">
      <w:pPr>
        <w:rPr>
          <w:sz w:val="28"/>
        </w:rPr>
      </w:pPr>
      <w:r>
        <w:rPr>
          <w:rFonts w:hint="eastAsia"/>
          <w:sz w:val="28"/>
        </w:rPr>
        <w:t>附件6</w:t>
      </w:r>
    </w:p>
    <w:p w14:paraId="352E9389">
      <w:pPr>
        <w:autoSpaceDN w:val="0"/>
        <w:spacing w:line="360" w:lineRule="auto"/>
        <w:jc w:val="center"/>
        <w:rPr>
          <w:b/>
          <w:bCs/>
          <w:sz w:val="24"/>
        </w:rPr>
      </w:pPr>
      <w:r>
        <w:rPr>
          <w:rFonts w:hint="eastAsia"/>
          <w:b/>
          <w:bCs/>
          <w:sz w:val="24"/>
        </w:rPr>
        <w:t>售后服务承诺</w:t>
      </w:r>
    </w:p>
    <w:p w14:paraId="56DEAC19">
      <w:pPr>
        <w:autoSpaceDE w:val="0"/>
        <w:autoSpaceDN w:val="0"/>
        <w:adjustRightInd w:val="0"/>
        <w:spacing w:line="360" w:lineRule="auto"/>
        <w:ind w:firstLine="480" w:firstLineChars="200"/>
        <w:rPr>
          <w:color w:val="FF0000"/>
          <w:sz w:val="24"/>
        </w:rPr>
      </w:pPr>
    </w:p>
    <w:tbl>
      <w:tblPr>
        <w:tblStyle w:val="7"/>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1F39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77D1B8E">
            <w:pPr>
              <w:pStyle w:val="13"/>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5596D7EC">
            <w:pPr>
              <w:pStyle w:val="13"/>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16E66190">
            <w:pPr>
              <w:pStyle w:val="13"/>
              <w:spacing w:line="360" w:lineRule="auto"/>
              <w:jc w:val="center"/>
              <w:rPr>
                <w:rFonts w:cs="Arial"/>
                <w:sz w:val="24"/>
              </w:rPr>
            </w:pPr>
            <w:r>
              <w:rPr>
                <w:rFonts w:hint="eastAsia" w:cs="Arial"/>
                <w:sz w:val="24"/>
              </w:rPr>
              <w:t>承诺内容</w:t>
            </w:r>
          </w:p>
        </w:tc>
      </w:tr>
      <w:tr w14:paraId="3808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D51A36C">
            <w:pPr>
              <w:pStyle w:val="13"/>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3FF75906">
            <w:pPr>
              <w:pStyle w:val="13"/>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0F1F1F83">
            <w:pPr>
              <w:pStyle w:val="13"/>
              <w:spacing w:line="360" w:lineRule="auto"/>
              <w:rPr>
                <w:rFonts w:cs="Arial"/>
                <w:bCs/>
                <w:sz w:val="24"/>
              </w:rPr>
            </w:pPr>
          </w:p>
        </w:tc>
      </w:tr>
      <w:tr w14:paraId="56E4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3DFDA77E">
            <w:pPr>
              <w:pStyle w:val="13"/>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470F6916">
            <w:pPr>
              <w:pStyle w:val="13"/>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353F4271">
            <w:pPr>
              <w:pStyle w:val="13"/>
              <w:spacing w:line="360" w:lineRule="auto"/>
              <w:rPr>
                <w:rFonts w:cs="Arial"/>
                <w:bCs/>
                <w:sz w:val="24"/>
              </w:rPr>
            </w:pPr>
          </w:p>
        </w:tc>
      </w:tr>
      <w:tr w14:paraId="0F63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DE23B5C">
            <w:pPr>
              <w:pStyle w:val="13"/>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0B0C030E">
            <w:pPr>
              <w:pStyle w:val="13"/>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66DDE043">
            <w:pPr>
              <w:pStyle w:val="13"/>
              <w:spacing w:line="360" w:lineRule="auto"/>
              <w:rPr>
                <w:rFonts w:cs="Arial"/>
                <w:bCs/>
                <w:sz w:val="24"/>
              </w:rPr>
            </w:pPr>
          </w:p>
          <w:p w14:paraId="68F162AC">
            <w:pPr>
              <w:pStyle w:val="13"/>
              <w:spacing w:line="360" w:lineRule="auto"/>
              <w:rPr>
                <w:rFonts w:cs="Arial"/>
                <w:bCs/>
                <w:sz w:val="24"/>
              </w:rPr>
            </w:pPr>
          </w:p>
        </w:tc>
      </w:tr>
      <w:tr w14:paraId="22F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0DD647D">
            <w:pPr>
              <w:pStyle w:val="13"/>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78650305">
            <w:pPr>
              <w:pStyle w:val="13"/>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5631E182">
            <w:pPr>
              <w:pStyle w:val="13"/>
              <w:spacing w:line="360" w:lineRule="auto"/>
              <w:rPr>
                <w:rFonts w:cs="Arial"/>
                <w:bCs/>
                <w:sz w:val="24"/>
              </w:rPr>
            </w:pPr>
          </w:p>
          <w:p w14:paraId="52A51A75">
            <w:pPr>
              <w:pStyle w:val="13"/>
              <w:spacing w:line="360" w:lineRule="auto"/>
              <w:rPr>
                <w:rFonts w:cs="Arial"/>
                <w:bCs/>
                <w:sz w:val="24"/>
              </w:rPr>
            </w:pPr>
          </w:p>
        </w:tc>
      </w:tr>
    </w:tbl>
    <w:p w14:paraId="26439CFA">
      <w:pPr>
        <w:spacing w:line="620" w:lineRule="exact"/>
        <w:rPr>
          <w:sz w:val="24"/>
        </w:rPr>
      </w:pPr>
    </w:p>
    <w:p w14:paraId="0AE9F4A5">
      <w:pPr>
        <w:spacing w:line="360" w:lineRule="auto"/>
        <w:ind w:firstLine="4080" w:firstLineChars="1700"/>
        <w:rPr>
          <w:sz w:val="24"/>
        </w:rPr>
      </w:pPr>
      <w:r>
        <w:rPr>
          <w:rFonts w:hint="eastAsia"/>
          <w:sz w:val="24"/>
        </w:rPr>
        <w:t>报名单位</w:t>
      </w:r>
      <w:r>
        <w:rPr>
          <w:sz w:val="24"/>
        </w:rPr>
        <w:t>名称：</w:t>
      </w:r>
    </w:p>
    <w:p w14:paraId="4C5B1EE7">
      <w:pPr>
        <w:spacing w:line="360" w:lineRule="auto"/>
        <w:ind w:firstLine="4080" w:firstLineChars="1700"/>
        <w:rPr>
          <w:sz w:val="24"/>
        </w:rPr>
      </w:pPr>
      <w:r>
        <w:rPr>
          <w:sz w:val="24"/>
        </w:rPr>
        <w:t>日期：年月日</w:t>
      </w:r>
    </w:p>
    <w:p w14:paraId="5EBD7043">
      <w:pPr>
        <w:rPr>
          <w:sz w:val="28"/>
        </w:rPr>
      </w:pPr>
    </w:p>
    <w:p w14:paraId="2488AD35">
      <w:pPr>
        <w:rPr>
          <w:sz w:val="28"/>
        </w:rPr>
      </w:pPr>
    </w:p>
    <w:p w14:paraId="2A698F31">
      <w:pPr>
        <w:rPr>
          <w:sz w:val="28"/>
        </w:rPr>
      </w:pPr>
    </w:p>
    <w:p w14:paraId="2EA70279">
      <w:pPr>
        <w:rPr>
          <w:sz w:val="28"/>
        </w:rPr>
      </w:pPr>
    </w:p>
    <w:p w14:paraId="5816B439">
      <w:pPr>
        <w:rPr>
          <w:sz w:val="28"/>
        </w:rPr>
      </w:pPr>
      <w:r>
        <w:rPr>
          <w:rFonts w:hint="eastAsia"/>
          <w:sz w:val="28"/>
        </w:rPr>
        <w:br w:type="page"/>
      </w:r>
    </w:p>
    <w:p w14:paraId="7A0CC77E">
      <w:pPr>
        <w:rPr>
          <w:sz w:val="28"/>
        </w:rPr>
      </w:pPr>
      <w:r>
        <w:rPr>
          <w:rFonts w:hint="eastAsia"/>
          <w:sz w:val="28"/>
        </w:rPr>
        <w:t>附件7</w:t>
      </w:r>
    </w:p>
    <w:p w14:paraId="574E3657">
      <w:pPr>
        <w:autoSpaceDN w:val="0"/>
        <w:spacing w:line="360" w:lineRule="auto"/>
        <w:jc w:val="center"/>
        <w:rPr>
          <w:b/>
          <w:bCs/>
          <w:sz w:val="24"/>
        </w:rPr>
      </w:pPr>
      <w:r>
        <w:rPr>
          <w:rFonts w:hint="eastAsia"/>
          <w:b/>
          <w:bCs/>
          <w:sz w:val="24"/>
        </w:rPr>
        <w:t>报名</w:t>
      </w:r>
      <w:r>
        <w:rPr>
          <w:b/>
          <w:bCs/>
          <w:sz w:val="24"/>
        </w:rPr>
        <w:t>产品配置清单</w:t>
      </w:r>
    </w:p>
    <w:p w14:paraId="6E879453">
      <w:pPr>
        <w:spacing w:line="460" w:lineRule="exact"/>
        <w:rPr>
          <w:sz w:val="24"/>
        </w:rPr>
      </w:pPr>
    </w:p>
    <w:p w14:paraId="6252237E">
      <w:pPr>
        <w:spacing w:line="460" w:lineRule="exact"/>
        <w:rPr>
          <w:sz w:val="24"/>
        </w:rPr>
      </w:pPr>
      <w:r>
        <w:rPr>
          <w:sz w:val="24"/>
        </w:rPr>
        <w:t>项目名称：</w:t>
      </w:r>
    </w:p>
    <w:p w14:paraId="042895FC">
      <w:pPr>
        <w:spacing w:line="460" w:lineRule="exact"/>
        <w:rPr>
          <w:sz w:val="24"/>
        </w:rPr>
      </w:pPr>
      <w:r>
        <w:rPr>
          <w:sz w:val="24"/>
        </w:rPr>
        <w:t>项目编号：</w:t>
      </w:r>
    </w:p>
    <w:p w14:paraId="240E85AB">
      <w:pPr>
        <w:spacing w:line="460" w:lineRule="exact"/>
        <w:rPr>
          <w:sz w:val="24"/>
          <w:u w:val="single"/>
        </w:rPr>
      </w:pPr>
      <w:r>
        <w:rPr>
          <w:sz w:val="24"/>
        </w:rPr>
        <w:t>包号：</w:t>
      </w:r>
    </w:p>
    <w:p w14:paraId="5C2AAF89">
      <w:pPr>
        <w:spacing w:line="460" w:lineRule="exact"/>
        <w:rPr>
          <w:sz w:val="24"/>
          <w:u w:val="single"/>
        </w:rPr>
      </w:pPr>
    </w:p>
    <w:tbl>
      <w:tblPr>
        <w:tblStyle w:val="7"/>
        <w:tblW w:w="4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698"/>
        <w:gridCol w:w="4305"/>
      </w:tblGrid>
      <w:tr w14:paraId="06BB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6C9D005F">
            <w:pPr>
              <w:spacing w:line="560" w:lineRule="exact"/>
              <w:jc w:val="center"/>
              <w:rPr>
                <w:sz w:val="24"/>
              </w:rPr>
            </w:pPr>
            <w:r>
              <w:rPr>
                <w:sz w:val="24"/>
              </w:rPr>
              <w:t>序号</w:t>
            </w:r>
          </w:p>
        </w:tc>
        <w:tc>
          <w:tcPr>
            <w:tcW w:w="1219" w:type="pct"/>
            <w:shd w:val="clear" w:color="auto" w:fill="auto"/>
            <w:vAlign w:val="center"/>
          </w:tcPr>
          <w:p w14:paraId="5E24220A">
            <w:pPr>
              <w:spacing w:line="560" w:lineRule="exact"/>
              <w:jc w:val="center"/>
              <w:rPr>
                <w:sz w:val="24"/>
              </w:rPr>
            </w:pPr>
            <w:r>
              <w:rPr>
                <w:rFonts w:hint="eastAsia"/>
                <w:sz w:val="24"/>
              </w:rPr>
              <w:t>产品名称</w:t>
            </w:r>
          </w:p>
        </w:tc>
        <w:tc>
          <w:tcPr>
            <w:tcW w:w="3091" w:type="pct"/>
            <w:shd w:val="clear" w:color="auto" w:fill="auto"/>
            <w:vAlign w:val="center"/>
          </w:tcPr>
          <w:p w14:paraId="2B3AB845">
            <w:pPr>
              <w:spacing w:line="560" w:lineRule="exact"/>
              <w:jc w:val="center"/>
              <w:rPr>
                <w:sz w:val="24"/>
              </w:rPr>
            </w:pPr>
            <w:r>
              <w:rPr>
                <w:rFonts w:hint="eastAsia"/>
                <w:sz w:val="24"/>
              </w:rPr>
              <w:t>功能描述</w:t>
            </w:r>
          </w:p>
        </w:tc>
      </w:tr>
      <w:tr w14:paraId="4D4F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734D44E1">
            <w:pPr>
              <w:spacing w:line="560" w:lineRule="exact"/>
              <w:jc w:val="center"/>
              <w:rPr>
                <w:sz w:val="24"/>
              </w:rPr>
            </w:pPr>
            <w:r>
              <w:rPr>
                <w:sz w:val="24"/>
              </w:rPr>
              <w:t>1</w:t>
            </w:r>
          </w:p>
        </w:tc>
        <w:tc>
          <w:tcPr>
            <w:tcW w:w="1219" w:type="pct"/>
            <w:shd w:val="clear" w:color="auto" w:fill="auto"/>
            <w:vAlign w:val="center"/>
          </w:tcPr>
          <w:p w14:paraId="765851F0">
            <w:pPr>
              <w:spacing w:line="560" w:lineRule="exact"/>
              <w:jc w:val="center"/>
              <w:rPr>
                <w:sz w:val="24"/>
              </w:rPr>
            </w:pPr>
          </w:p>
        </w:tc>
        <w:tc>
          <w:tcPr>
            <w:tcW w:w="3091" w:type="pct"/>
            <w:shd w:val="clear" w:color="auto" w:fill="auto"/>
            <w:vAlign w:val="center"/>
          </w:tcPr>
          <w:p w14:paraId="354C5B1A">
            <w:pPr>
              <w:spacing w:line="560" w:lineRule="exact"/>
              <w:jc w:val="center"/>
              <w:rPr>
                <w:sz w:val="24"/>
              </w:rPr>
            </w:pPr>
          </w:p>
        </w:tc>
      </w:tr>
      <w:tr w14:paraId="63DE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0570C8D2">
            <w:pPr>
              <w:spacing w:line="560" w:lineRule="exact"/>
              <w:jc w:val="center"/>
              <w:rPr>
                <w:sz w:val="24"/>
              </w:rPr>
            </w:pPr>
            <w:r>
              <w:rPr>
                <w:sz w:val="24"/>
              </w:rPr>
              <w:t>2</w:t>
            </w:r>
          </w:p>
        </w:tc>
        <w:tc>
          <w:tcPr>
            <w:tcW w:w="1219" w:type="pct"/>
            <w:shd w:val="clear" w:color="auto" w:fill="auto"/>
            <w:vAlign w:val="center"/>
          </w:tcPr>
          <w:p w14:paraId="52D4E24D">
            <w:pPr>
              <w:spacing w:line="560" w:lineRule="exact"/>
              <w:jc w:val="center"/>
              <w:rPr>
                <w:sz w:val="24"/>
              </w:rPr>
            </w:pPr>
          </w:p>
        </w:tc>
        <w:tc>
          <w:tcPr>
            <w:tcW w:w="3091" w:type="pct"/>
            <w:shd w:val="clear" w:color="auto" w:fill="auto"/>
            <w:vAlign w:val="center"/>
          </w:tcPr>
          <w:p w14:paraId="4BFA7EC9">
            <w:pPr>
              <w:spacing w:line="560" w:lineRule="exact"/>
              <w:jc w:val="center"/>
              <w:rPr>
                <w:sz w:val="24"/>
              </w:rPr>
            </w:pPr>
          </w:p>
        </w:tc>
      </w:tr>
      <w:tr w14:paraId="293B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742745C3">
            <w:pPr>
              <w:spacing w:line="560" w:lineRule="exact"/>
              <w:jc w:val="center"/>
              <w:rPr>
                <w:sz w:val="24"/>
              </w:rPr>
            </w:pPr>
            <w:r>
              <w:rPr>
                <w:sz w:val="24"/>
              </w:rPr>
              <w:t>3</w:t>
            </w:r>
          </w:p>
        </w:tc>
        <w:tc>
          <w:tcPr>
            <w:tcW w:w="1219" w:type="pct"/>
            <w:shd w:val="clear" w:color="auto" w:fill="auto"/>
            <w:vAlign w:val="center"/>
          </w:tcPr>
          <w:p w14:paraId="21AC434D">
            <w:pPr>
              <w:spacing w:line="560" w:lineRule="exact"/>
              <w:jc w:val="center"/>
              <w:rPr>
                <w:sz w:val="24"/>
              </w:rPr>
            </w:pPr>
          </w:p>
        </w:tc>
        <w:tc>
          <w:tcPr>
            <w:tcW w:w="3091" w:type="pct"/>
            <w:shd w:val="clear" w:color="auto" w:fill="auto"/>
            <w:vAlign w:val="center"/>
          </w:tcPr>
          <w:p w14:paraId="689EA561">
            <w:pPr>
              <w:spacing w:line="560" w:lineRule="exact"/>
              <w:jc w:val="center"/>
              <w:rPr>
                <w:sz w:val="24"/>
              </w:rPr>
            </w:pPr>
          </w:p>
        </w:tc>
      </w:tr>
      <w:tr w14:paraId="30A0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68E67D74">
            <w:pPr>
              <w:spacing w:line="560" w:lineRule="exact"/>
              <w:jc w:val="center"/>
              <w:rPr>
                <w:sz w:val="24"/>
              </w:rPr>
            </w:pPr>
            <w:r>
              <w:rPr>
                <w:sz w:val="24"/>
              </w:rPr>
              <w:t>…</w:t>
            </w:r>
          </w:p>
        </w:tc>
        <w:tc>
          <w:tcPr>
            <w:tcW w:w="1219" w:type="pct"/>
            <w:shd w:val="clear" w:color="auto" w:fill="auto"/>
            <w:vAlign w:val="center"/>
          </w:tcPr>
          <w:p w14:paraId="6D67C7AB">
            <w:pPr>
              <w:spacing w:line="560" w:lineRule="exact"/>
              <w:jc w:val="center"/>
              <w:rPr>
                <w:sz w:val="24"/>
              </w:rPr>
            </w:pPr>
          </w:p>
        </w:tc>
        <w:tc>
          <w:tcPr>
            <w:tcW w:w="3091" w:type="pct"/>
            <w:shd w:val="clear" w:color="auto" w:fill="auto"/>
            <w:vAlign w:val="center"/>
          </w:tcPr>
          <w:p w14:paraId="4163E6FA">
            <w:pPr>
              <w:spacing w:line="560" w:lineRule="exact"/>
              <w:jc w:val="center"/>
              <w:rPr>
                <w:sz w:val="24"/>
              </w:rPr>
            </w:pPr>
          </w:p>
        </w:tc>
      </w:tr>
    </w:tbl>
    <w:p w14:paraId="28007A41">
      <w:pPr>
        <w:spacing w:line="560" w:lineRule="exact"/>
        <w:jc w:val="left"/>
        <w:rPr>
          <w:sz w:val="24"/>
        </w:rPr>
      </w:pPr>
    </w:p>
    <w:p w14:paraId="355EEA5A">
      <w:pPr>
        <w:spacing w:line="560" w:lineRule="exact"/>
        <w:jc w:val="left"/>
        <w:rPr>
          <w:sz w:val="24"/>
        </w:rPr>
      </w:pPr>
    </w:p>
    <w:p w14:paraId="15515743">
      <w:pPr>
        <w:spacing w:line="560" w:lineRule="exact"/>
        <w:jc w:val="left"/>
        <w:rPr>
          <w:sz w:val="24"/>
        </w:rPr>
      </w:pPr>
    </w:p>
    <w:p w14:paraId="6C8D73A3">
      <w:pPr>
        <w:spacing w:line="560" w:lineRule="exact"/>
        <w:jc w:val="left"/>
        <w:rPr>
          <w:sz w:val="24"/>
        </w:rPr>
      </w:pPr>
    </w:p>
    <w:p w14:paraId="099A2D4D">
      <w:pPr>
        <w:spacing w:line="560" w:lineRule="exact"/>
        <w:jc w:val="left"/>
        <w:rPr>
          <w:sz w:val="24"/>
        </w:rPr>
      </w:pPr>
    </w:p>
    <w:p w14:paraId="7AC8AAD3">
      <w:pPr>
        <w:spacing w:line="360" w:lineRule="auto"/>
        <w:ind w:firstLine="4080" w:firstLineChars="1700"/>
        <w:rPr>
          <w:sz w:val="24"/>
        </w:rPr>
      </w:pPr>
      <w:r>
        <w:rPr>
          <w:rFonts w:hint="eastAsia"/>
          <w:sz w:val="24"/>
        </w:rPr>
        <w:t>报名单位</w:t>
      </w:r>
      <w:r>
        <w:rPr>
          <w:sz w:val="24"/>
        </w:rPr>
        <w:t>名称：</w:t>
      </w:r>
    </w:p>
    <w:p w14:paraId="7F4E6845">
      <w:pPr>
        <w:spacing w:line="360" w:lineRule="auto"/>
        <w:ind w:firstLine="4080" w:firstLineChars="1700"/>
        <w:rPr>
          <w:sz w:val="24"/>
        </w:rPr>
      </w:pPr>
      <w:r>
        <w:rPr>
          <w:sz w:val="24"/>
        </w:rPr>
        <w:t>日期：年月日</w:t>
      </w:r>
    </w:p>
    <w:p w14:paraId="7E031693">
      <w:pPr>
        <w:rPr>
          <w:sz w:val="28"/>
        </w:rPr>
      </w:pPr>
    </w:p>
    <w:p w14:paraId="5785FAD0">
      <w:pPr>
        <w:rPr>
          <w:sz w:val="28"/>
        </w:rPr>
      </w:pPr>
    </w:p>
    <w:p w14:paraId="49F3EFAE">
      <w:pPr>
        <w:rPr>
          <w:sz w:val="28"/>
        </w:rPr>
      </w:pPr>
    </w:p>
    <w:p w14:paraId="2E3EB231">
      <w:pPr>
        <w:rPr>
          <w:sz w:val="28"/>
        </w:rPr>
      </w:pPr>
    </w:p>
    <w:p w14:paraId="42DF96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377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E462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7BEE462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D73F2"/>
    <w:multiLevelType w:val="multilevel"/>
    <w:tmpl w:val="84CD73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8DF16AF"/>
    <w:multiLevelType w:val="singleLevel"/>
    <w:tmpl w:val="88DF16AF"/>
    <w:lvl w:ilvl="0" w:tentative="0">
      <w:start w:val="1"/>
      <w:numFmt w:val="decimal"/>
      <w:lvlText w:val="%1."/>
      <w:lvlJc w:val="left"/>
      <w:pPr>
        <w:ind w:left="425" w:hanging="425"/>
      </w:pPr>
      <w:rPr>
        <w:rFonts w:hint="default"/>
      </w:rPr>
    </w:lvl>
  </w:abstractNum>
  <w:abstractNum w:abstractNumId="2">
    <w:nsid w:val="8AB678F2"/>
    <w:multiLevelType w:val="singleLevel"/>
    <w:tmpl w:val="8AB678F2"/>
    <w:lvl w:ilvl="0" w:tentative="0">
      <w:start w:val="1"/>
      <w:numFmt w:val="decimal"/>
      <w:lvlText w:val="(%1)"/>
      <w:lvlJc w:val="left"/>
      <w:pPr>
        <w:ind w:left="425" w:hanging="425"/>
      </w:pPr>
      <w:rPr>
        <w:rFonts w:hint="default"/>
      </w:rPr>
    </w:lvl>
  </w:abstractNum>
  <w:abstractNum w:abstractNumId="3">
    <w:nsid w:val="9DCDF72C"/>
    <w:multiLevelType w:val="multilevel"/>
    <w:tmpl w:val="9DCDF7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685A2C4"/>
    <w:multiLevelType w:val="multilevel"/>
    <w:tmpl w:val="A685A2C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A7FC272A"/>
    <w:multiLevelType w:val="singleLevel"/>
    <w:tmpl w:val="A7FC272A"/>
    <w:lvl w:ilvl="0" w:tentative="0">
      <w:start w:val="1"/>
      <w:numFmt w:val="decimal"/>
      <w:lvlText w:val="(%1)"/>
      <w:lvlJc w:val="left"/>
      <w:pPr>
        <w:ind w:left="425" w:hanging="425"/>
      </w:pPr>
      <w:rPr>
        <w:rFonts w:hint="default"/>
      </w:rPr>
    </w:lvl>
  </w:abstractNum>
  <w:abstractNum w:abstractNumId="6">
    <w:nsid w:val="AAA737AE"/>
    <w:multiLevelType w:val="multilevel"/>
    <w:tmpl w:val="AAA737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AE08A9B1"/>
    <w:multiLevelType w:val="singleLevel"/>
    <w:tmpl w:val="AE08A9B1"/>
    <w:lvl w:ilvl="0" w:tentative="0">
      <w:start w:val="1"/>
      <w:numFmt w:val="decimal"/>
      <w:lvlText w:val="(%1)"/>
      <w:lvlJc w:val="left"/>
      <w:pPr>
        <w:ind w:left="425" w:hanging="425"/>
      </w:pPr>
      <w:rPr>
        <w:rFonts w:hint="default"/>
        <w:color w:val="auto"/>
      </w:rPr>
    </w:lvl>
  </w:abstractNum>
  <w:abstractNum w:abstractNumId="8">
    <w:nsid w:val="B572732E"/>
    <w:multiLevelType w:val="singleLevel"/>
    <w:tmpl w:val="B572732E"/>
    <w:lvl w:ilvl="0" w:tentative="0">
      <w:start w:val="1"/>
      <w:numFmt w:val="decimal"/>
      <w:lvlText w:val="%1."/>
      <w:lvlJc w:val="left"/>
      <w:pPr>
        <w:ind w:left="425" w:hanging="425"/>
      </w:pPr>
      <w:rPr>
        <w:rFonts w:hint="default"/>
      </w:rPr>
    </w:lvl>
  </w:abstractNum>
  <w:abstractNum w:abstractNumId="9">
    <w:nsid w:val="B58951D2"/>
    <w:multiLevelType w:val="multilevel"/>
    <w:tmpl w:val="B58951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B6E96F68"/>
    <w:multiLevelType w:val="multilevel"/>
    <w:tmpl w:val="B6E96F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C2C5DC9B"/>
    <w:multiLevelType w:val="singleLevel"/>
    <w:tmpl w:val="C2C5DC9B"/>
    <w:lvl w:ilvl="0" w:tentative="0">
      <w:start w:val="1"/>
      <w:numFmt w:val="decimal"/>
      <w:lvlText w:val="(%1)"/>
      <w:lvlJc w:val="left"/>
      <w:pPr>
        <w:ind w:left="425" w:hanging="425"/>
      </w:pPr>
      <w:rPr>
        <w:rFonts w:hint="default"/>
      </w:rPr>
    </w:lvl>
  </w:abstractNum>
  <w:abstractNum w:abstractNumId="12">
    <w:nsid w:val="C554C183"/>
    <w:multiLevelType w:val="singleLevel"/>
    <w:tmpl w:val="C554C183"/>
    <w:lvl w:ilvl="0" w:tentative="0">
      <w:start w:val="1"/>
      <w:numFmt w:val="decimal"/>
      <w:lvlText w:val="(%1)"/>
      <w:lvlJc w:val="left"/>
      <w:pPr>
        <w:ind w:left="425" w:hanging="425"/>
      </w:pPr>
      <w:rPr>
        <w:rFonts w:hint="default"/>
      </w:rPr>
    </w:lvl>
  </w:abstractNum>
  <w:abstractNum w:abstractNumId="13">
    <w:nsid w:val="C6C63C8F"/>
    <w:multiLevelType w:val="singleLevel"/>
    <w:tmpl w:val="C6C63C8F"/>
    <w:lvl w:ilvl="0" w:tentative="0">
      <w:start w:val="1"/>
      <w:numFmt w:val="decimal"/>
      <w:lvlText w:val="(%1)"/>
      <w:lvlJc w:val="left"/>
      <w:pPr>
        <w:ind w:left="425" w:hanging="425"/>
      </w:pPr>
      <w:rPr>
        <w:rFonts w:hint="default"/>
      </w:rPr>
    </w:lvl>
  </w:abstractNum>
  <w:abstractNum w:abstractNumId="14">
    <w:nsid w:val="D394FFEF"/>
    <w:multiLevelType w:val="singleLevel"/>
    <w:tmpl w:val="D394FFEF"/>
    <w:lvl w:ilvl="0" w:tentative="0">
      <w:start w:val="1"/>
      <w:numFmt w:val="decimal"/>
      <w:lvlText w:val="%1."/>
      <w:lvlJc w:val="left"/>
      <w:pPr>
        <w:ind w:left="425" w:hanging="425"/>
      </w:pPr>
      <w:rPr>
        <w:rFonts w:hint="default"/>
      </w:rPr>
    </w:lvl>
  </w:abstractNum>
  <w:abstractNum w:abstractNumId="15">
    <w:nsid w:val="DC806792"/>
    <w:multiLevelType w:val="multilevel"/>
    <w:tmpl w:val="DC8067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EA891C9B"/>
    <w:multiLevelType w:val="multilevel"/>
    <w:tmpl w:val="EA891C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EB9C956F"/>
    <w:multiLevelType w:val="singleLevel"/>
    <w:tmpl w:val="EB9C956F"/>
    <w:lvl w:ilvl="0" w:tentative="0">
      <w:start w:val="1"/>
      <w:numFmt w:val="decimal"/>
      <w:lvlText w:val="(%1)"/>
      <w:lvlJc w:val="left"/>
      <w:pPr>
        <w:ind w:left="425" w:hanging="425"/>
      </w:pPr>
      <w:rPr>
        <w:rFonts w:hint="default"/>
      </w:rPr>
    </w:lvl>
  </w:abstractNum>
  <w:abstractNum w:abstractNumId="18">
    <w:nsid w:val="EEB5DDB8"/>
    <w:multiLevelType w:val="multilevel"/>
    <w:tmpl w:val="EEB5DDB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F092F112"/>
    <w:multiLevelType w:val="multilevel"/>
    <w:tmpl w:val="F092F1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F3ECF98A"/>
    <w:multiLevelType w:val="multilevel"/>
    <w:tmpl w:val="F3ECF9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F86D4297"/>
    <w:multiLevelType w:val="multilevel"/>
    <w:tmpl w:val="F86D42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FB58CC20"/>
    <w:multiLevelType w:val="singleLevel"/>
    <w:tmpl w:val="FB58CC20"/>
    <w:lvl w:ilvl="0" w:tentative="0">
      <w:start w:val="1"/>
      <w:numFmt w:val="decimal"/>
      <w:lvlText w:val="(%1)"/>
      <w:lvlJc w:val="left"/>
      <w:pPr>
        <w:ind w:left="425" w:hanging="425"/>
      </w:pPr>
      <w:rPr>
        <w:rFonts w:hint="default"/>
        <w:color w:val="auto"/>
      </w:rPr>
    </w:lvl>
  </w:abstractNum>
  <w:abstractNum w:abstractNumId="23">
    <w:nsid w:val="040B4A67"/>
    <w:multiLevelType w:val="singleLevel"/>
    <w:tmpl w:val="040B4A67"/>
    <w:lvl w:ilvl="0" w:tentative="0">
      <w:start w:val="1"/>
      <w:numFmt w:val="decimal"/>
      <w:lvlText w:val="%1."/>
      <w:lvlJc w:val="left"/>
      <w:pPr>
        <w:tabs>
          <w:tab w:val="left" w:pos="312"/>
        </w:tabs>
      </w:pPr>
    </w:lvl>
  </w:abstractNum>
  <w:abstractNum w:abstractNumId="24">
    <w:nsid w:val="04F5A73A"/>
    <w:multiLevelType w:val="singleLevel"/>
    <w:tmpl w:val="04F5A73A"/>
    <w:lvl w:ilvl="0" w:tentative="0">
      <w:start w:val="1"/>
      <w:numFmt w:val="decimal"/>
      <w:lvlText w:val="(%1)"/>
      <w:lvlJc w:val="left"/>
      <w:pPr>
        <w:ind w:left="425" w:hanging="425"/>
      </w:pPr>
      <w:rPr>
        <w:rFonts w:hint="default" w:ascii="Times New Roman" w:hAnsi="Times New Roman" w:cs="Times New Roman"/>
      </w:rPr>
    </w:lvl>
  </w:abstractNum>
  <w:abstractNum w:abstractNumId="25">
    <w:nsid w:val="0675ABC4"/>
    <w:multiLevelType w:val="multilevel"/>
    <w:tmpl w:val="0675ABC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73F1740"/>
    <w:multiLevelType w:val="singleLevel"/>
    <w:tmpl w:val="073F1740"/>
    <w:lvl w:ilvl="0" w:tentative="0">
      <w:start w:val="1"/>
      <w:numFmt w:val="decimal"/>
      <w:lvlText w:val="(%1)"/>
      <w:lvlJc w:val="left"/>
      <w:pPr>
        <w:ind w:left="425" w:hanging="425"/>
      </w:pPr>
      <w:rPr>
        <w:rFonts w:hint="default"/>
      </w:rPr>
    </w:lvl>
  </w:abstractNum>
  <w:abstractNum w:abstractNumId="27">
    <w:nsid w:val="082AA113"/>
    <w:multiLevelType w:val="singleLevel"/>
    <w:tmpl w:val="082AA113"/>
    <w:lvl w:ilvl="0" w:tentative="0">
      <w:start w:val="1"/>
      <w:numFmt w:val="decimal"/>
      <w:lvlText w:val="(%1)"/>
      <w:lvlJc w:val="left"/>
      <w:pPr>
        <w:ind w:left="425" w:hanging="425"/>
      </w:pPr>
      <w:rPr>
        <w:rFonts w:hint="default"/>
      </w:rPr>
    </w:lvl>
  </w:abstractNum>
  <w:abstractNum w:abstractNumId="28">
    <w:nsid w:val="08410BC3"/>
    <w:multiLevelType w:val="singleLevel"/>
    <w:tmpl w:val="08410BC3"/>
    <w:lvl w:ilvl="0" w:tentative="0">
      <w:start w:val="1"/>
      <w:numFmt w:val="decimal"/>
      <w:lvlText w:val="(%1)"/>
      <w:lvlJc w:val="left"/>
      <w:pPr>
        <w:ind w:left="425" w:hanging="425"/>
      </w:pPr>
      <w:rPr>
        <w:rFonts w:hint="default"/>
      </w:rPr>
    </w:lvl>
  </w:abstractNum>
  <w:abstractNum w:abstractNumId="29">
    <w:nsid w:val="09E78B9C"/>
    <w:multiLevelType w:val="singleLevel"/>
    <w:tmpl w:val="09E78B9C"/>
    <w:lvl w:ilvl="0" w:tentative="0">
      <w:start w:val="1"/>
      <w:numFmt w:val="decimal"/>
      <w:lvlText w:val="(%1)"/>
      <w:lvlJc w:val="left"/>
      <w:pPr>
        <w:ind w:left="425" w:hanging="425"/>
      </w:pPr>
      <w:rPr>
        <w:rFonts w:hint="default"/>
      </w:rPr>
    </w:lvl>
  </w:abstractNum>
  <w:abstractNum w:abstractNumId="30">
    <w:nsid w:val="0D42CB68"/>
    <w:multiLevelType w:val="singleLevel"/>
    <w:tmpl w:val="0D42CB68"/>
    <w:lvl w:ilvl="0" w:tentative="0">
      <w:start w:val="1"/>
      <w:numFmt w:val="decimal"/>
      <w:suff w:val="space"/>
      <w:lvlText w:val="%1."/>
      <w:lvlJc w:val="left"/>
    </w:lvl>
  </w:abstractNum>
  <w:abstractNum w:abstractNumId="31">
    <w:nsid w:val="0E3F5739"/>
    <w:multiLevelType w:val="singleLevel"/>
    <w:tmpl w:val="0E3F5739"/>
    <w:lvl w:ilvl="0" w:tentative="0">
      <w:start w:val="1"/>
      <w:numFmt w:val="decimal"/>
      <w:lvlText w:val="%1."/>
      <w:lvlJc w:val="left"/>
      <w:pPr>
        <w:ind w:left="425" w:hanging="425"/>
      </w:pPr>
      <w:rPr>
        <w:rFonts w:hint="default"/>
      </w:rPr>
    </w:lvl>
  </w:abstractNum>
  <w:abstractNum w:abstractNumId="32">
    <w:nsid w:val="131C016C"/>
    <w:multiLevelType w:val="singleLevel"/>
    <w:tmpl w:val="131C016C"/>
    <w:lvl w:ilvl="0" w:tentative="0">
      <w:start w:val="1"/>
      <w:numFmt w:val="decimal"/>
      <w:lvlText w:val="(%1)"/>
      <w:lvlJc w:val="left"/>
      <w:pPr>
        <w:ind w:left="425" w:hanging="425"/>
      </w:pPr>
      <w:rPr>
        <w:rFonts w:hint="default"/>
      </w:rPr>
    </w:lvl>
  </w:abstractNum>
  <w:abstractNum w:abstractNumId="33">
    <w:nsid w:val="15295070"/>
    <w:multiLevelType w:val="multilevel"/>
    <w:tmpl w:val="152950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163E2532"/>
    <w:multiLevelType w:val="singleLevel"/>
    <w:tmpl w:val="163E2532"/>
    <w:lvl w:ilvl="0" w:tentative="0">
      <w:start w:val="1"/>
      <w:numFmt w:val="decimal"/>
      <w:suff w:val="space"/>
      <w:lvlText w:val="%1."/>
      <w:lvlJc w:val="left"/>
    </w:lvl>
  </w:abstractNum>
  <w:abstractNum w:abstractNumId="35">
    <w:nsid w:val="1A8F4735"/>
    <w:multiLevelType w:val="multilevel"/>
    <w:tmpl w:val="1A8F47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E60B78A"/>
    <w:multiLevelType w:val="singleLevel"/>
    <w:tmpl w:val="1E60B78A"/>
    <w:lvl w:ilvl="0" w:tentative="0">
      <w:start w:val="1"/>
      <w:numFmt w:val="decimal"/>
      <w:lvlText w:val="(%1)"/>
      <w:lvlJc w:val="left"/>
      <w:pPr>
        <w:ind w:left="425" w:hanging="425"/>
      </w:pPr>
      <w:rPr>
        <w:rFonts w:hint="default"/>
        <w:color w:val="auto"/>
      </w:rPr>
    </w:lvl>
  </w:abstractNum>
  <w:abstractNum w:abstractNumId="37">
    <w:nsid w:val="211B4061"/>
    <w:multiLevelType w:val="singleLevel"/>
    <w:tmpl w:val="211B4061"/>
    <w:lvl w:ilvl="0" w:tentative="0">
      <w:start w:val="1"/>
      <w:numFmt w:val="decimal"/>
      <w:lvlText w:val="%1."/>
      <w:lvlJc w:val="left"/>
      <w:pPr>
        <w:ind w:left="425" w:hanging="425"/>
      </w:pPr>
      <w:rPr>
        <w:rFonts w:hint="default"/>
      </w:rPr>
    </w:lvl>
  </w:abstractNum>
  <w:abstractNum w:abstractNumId="38">
    <w:nsid w:val="24374944"/>
    <w:multiLevelType w:val="singleLevel"/>
    <w:tmpl w:val="24374944"/>
    <w:lvl w:ilvl="0" w:tentative="0">
      <w:start w:val="1"/>
      <w:numFmt w:val="decimal"/>
      <w:lvlText w:val="(%1)"/>
      <w:lvlJc w:val="left"/>
      <w:pPr>
        <w:ind w:left="425" w:hanging="425"/>
      </w:pPr>
      <w:rPr>
        <w:rFonts w:hint="default"/>
      </w:rPr>
    </w:lvl>
  </w:abstractNum>
  <w:abstractNum w:abstractNumId="39">
    <w:nsid w:val="25710D65"/>
    <w:multiLevelType w:val="multilevel"/>
    <w:tmpl w:val="25710D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27C6C0D0"/>
    <w:multiLevelType w:val="singleLevel"/>
    <w:tmpl w:val="27C6C0D0"/>
    <w:lvl w:ilvl="0" w:tentative="0">
      <w:start w:val="1"/>
      <w:numFmt w:val="decimal"/>
      <w:lvlText w:val="(%1)"/>
      <w:lvlJc w:val="left"/>
      <w:pPr>
        <w:ind w:left="425" w:hanging="425"/>
      </w:pPr>
      <w:rPr>
        <w:rFonts w:hint="default"/>
      </w:rPr>
    </w:lvl>
  </w:abstractNum>
  <w:abstractNum w:abstractNumId="41">
    <w:nsid w:val="29AF09C7"/>
    <w:multiLevelType w:val="multilevel"/>
    <w:tmpl w:val="29AF09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00A5A52"/>
    <w:multiLevelType w:val="multilevel"/>
    <w:tmpl w:val="300A5A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CFD6535"/>
    <w:multiLevelType w:val="singleLevel"/>
    <w:tmpl w:val="3CFD6535"/>
    <w:lvl w:ilvl="0" w:tentative="0">
      <w:start w:val="1"/>
      <w:numFmt w:val="decimal"/>
      <w:lvlText w:val="%1."/>
      <w:lvlJc w:val="left"/>
      <w:pPr>
        <w:ind w:left="425" w:hanging="425"/>
      </w:pPr>
      <w:rPr>
        <w:rFonts w:hint="default"/>
      </w:rPr>
    </w:lvl>
  </w:abstractNum>
  <w:abstractNum w:abstractNumId="44">
    <w:nsid w:val="410BA202"/>
    <w:multiLevelType w:val="singleLevel"/>
    <w:tmpl w:val="410BA202"/>
    <w:lvl w:ilvl="0" w:tentative="0">
      <w:start w:val="1"/>
      <w:numFmt w:val="decimal"/>
      <w:suff w:val="space"/>
      <w:lvlText w:val="%1."/>
      <w:lvlJc w:val="left"/>
    </w:lvl>
  </w:abstractNum>
  <w:abstractNum w:abstractNumId="45">
    <w:nsid w:val="433367DC"/>
    <w:multiLevelType w:val="singleLevel"/>
    <w:tmpl w:val="433367DC"/>
    <w:lvl w:ilvl="0" w:tentative="0">
      <w:start w:val="1"/>
      <w:numFmt w:val="decimal"/>
      <w:lvlText w:val="(%1)"/>
      <w:lvlJc w:val="left"/>
      <w:pPr>
        <w:ind w:left="425" w:hanging="425"/>
      </w:pPr>
      <w:rPr>
        <w:rFonts w:hint="default"/>
        <w:color w:val="auto"/>
      </w:rPr>
    </w:lvl>
  </w:abstractNum>
  <w:abstractNum w:abstractNumId="46">
    <w:nsid w:val="440AA159"/>
    <w:multiLevelType w:val="singleLevel"/>
    <w:tmpl w:val="440AA159"/>
    <w:lvl w:ilvl="0" w:tentative="0">
      <w:start w:val="1"/>
      <w:numFmt w:val="decimal"/>
      <w:lvlText w:val="%1."/>
      <w:lvlJc w:val="left"/>
      <w:pPr>
        <w:ind w:left="425" w:hanging="425"/>
      </w:pPr>
      <w:rPr>
        <w:rFonts w:hint="default"/>
      </w:rPr>
    </w:lvl>
  </w:abstractNum>
  <w:abstractNum w:abstractNumId="47">
    <w:nsid w:val="44FD38AB"/>
    <w:multiLevelType w:val="singleLevel"/>
    <w:tmpl w:val="44FD38AB"/>
    <w:lvl w:ilvl="0" w:tentative="0">
      <w:start w:val="1"/>
      <w:numFmt w:val="decimal"/>
      <w:suff w:val="space"/>
      <w:lvlText w:val="%1."/>
      <w:lvlJc w:val="left"/>
    </w:lvl>
  </w:abstractNum>
  <w:abstractNum w:abstractNumId="48">
    <w:nsid w:val="498832F8"/>
    <w:multiLevelType w:val="singleLevel"/>
    <w:tmpl w:val="498832F8"/>
    <w:lvl w:ilvl="0" w:tentative="0">
      <w:start w:val="1"/>
      <w:numFmt w:val="decimal"/>
      <w:lvlText w:val="(%1)"/>
      <w:lvlJc w:val="left"/>
      <w:pPr>
        <w:ind w:left="425" w:hanging="425"/>
      </w:pPr>
      <w:rPr>
        <w:rFonts w:hint="default"/>
      </w:rPr>
    </w:lvl>
  </w:abstractNum>
  <w:abstractNum w:abstractNumId="49">
    <w:nsid w:val="4A7D66DA"/>
    <w:multiLevelType w:val="singleLevel"/>
    <w:tmpl w:val="4A7D66DA"/>
    <w:lvl w:ilvl="0" w:tentative="0">
      <w:start w:val="1"/>
      <w:numFmt w:val="decimal"/>
      <w:lvlText w:val="(%1)"/>
      <w:lvlJc w:val="left"/>
      <w:pPr>
        <w:ind w:left="425" w:hanging="425"/>
      </w:pPr>
      <w:rPr>
        <w:rFonts w:hint="default"/>
      </w:rPr>
    </w:lvl>
  </w:abstractNum>
  <w:abstractNum w:abstractNumId="50">
    <w:nsid w:val="4B653593"/>
    <w:multiLevelType w:val="multilevel"/>
    <w:tmpl w:val="4B653593"/>
    <w:lvl w:ilvl="0" w:tentative="0">
      <w:start w:val="7"/>
      <w:numFmt w:val="japaneseCounting"/>
      <w:lvlText w:val="%1、"/>
      <w:lvlJc w:val="left"/>
      <w:pPr>
        <w:ind w:left="881" w:hanging="60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51">
    <w:nsid w:val="55B99369"/>
    <w:multiLevelType w:val="multilevel"/>
    <w:tmpl w:val="55B993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8FEE2EC"/>
    <w:multiLevelType w:val="multilevel"/>
    <w:tmpl w:val="58FEE2E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D4A7F30"/>
    <w:multiLevelType w:val="multilevel"/>
    <w:tmpl w:val="5D4A7F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D4A7F40"/>
    <w:multiLevelType w:val="multilevel"/>
    <w:tmpl w:val="5D4A7F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D4A7F56"/>
    <w:multiLevelType w:val="multilevel"/>
    <w:tmpl w:val="5D4A7F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D4A7F65"/>
    <w:multiLevelType w:val="multilevel"/>
    <w:tmpl w:val="5D4A7F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D4A7FD1"/>
    <w:multiLevelType w:val="multilevel"/>
    <w:tmpl w:val="5D4A7F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D4A8009"/>
    <w:multiLevelType w:val="multilevel"/>
    <w:tmpl w:val="5D4A8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ECF0E4F"/>
    <w:multiLevelType w:val="multilevel"/>
    <w:tmpl w:val="5ECF0E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5AD08D7"/>
    <w:multiLevelType w:val="multilevel"/>
    <w:tmpl w:val="65AD08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8176BD0"/>
    <w:multiLevelType w:val="singleLevel"/>
    <w:tmpl w:val="68176BD0"/>
    <w:lvl w:ilvl="0" w:tentative="0">
      <w:start w:val="1"/>
      <w:numFmt w:val="decimal"/>
      <w:lvlText w:val="(%1)"/>
      <w:lvlJc w:val="left"/>
      <w:pPr>
        <w:ind w:left="425" w:hanging="425"/>
      </w:pPr>
      <w:rPr>
        <w:rFonts w:hint="default"/>
        <w:color w:val="auto"/>
      </w:rPr>
    </w:lvl>
  </w:abstractNum>
  <w:abstractNum w:abstractNumId="62">
    <w:nsid w:val="6B3BB8C7"/>
    <w:multiLevelType w:val="singleLevel"/>
    <w:tmpl w:val="6B3BB8C7"/>
    <w:lvl w:ilvl="0" w:tentative="0">
      <w:start w:val="1"/>
      <w:numFmt w:val="decimal"/>
      <w:lvlText w:val="(%1)"/>
      <w:lvlJc w:val="left"/>
      <w:pPr>
        <w:ind w:left="425" w:hanging="425"/>
      </w:pPr>
      <w:rPr>
        <w:rFonts w:hint="default"/>
        <w:color w:val="auto"/>
      </w:rPr>
    </w:lvl>
  </w:abstractNum>
  <w:abstractNum w:abstractNumId="63">
    <w:nsid w:val="6EB48F4E"/>
    <w:multiLevelType w:val="singleLevel"/>
    <w:tmpl w:val="6EB48F4E"/>
    <w:lvl w:ilvl="0" w:tentative="0">
      <w:start w:val="1"/>
      <w:numFmt w:val="decimal"/>
      <w:lvlText w:val="(%1)"/>
      <w:lvlJc w:val="left"/>
      <w:pPr>
        <w:ind w:left="425" w:hanging="425"/>
      </w:pPr>
      <w:rPr>
        <w:rFonts w:hint="default"/>
      </w:rPr>
    </w:lvl>
  </w:abstractNum>
  <w:abstractNum w:abstractNumId="64">
    <w:nsid w:val="772E86F3"/>
    <w:multiLevelType w:val="multilevel"/>
    <w:tmpl w:val="772E86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767CD48"/>
    <w:multiLevelType w:val="singleLevel"/>
    <w:tmpl w:val="7767CD48"/>
    <w:lvl w:ilvl="0" w:tentative="0">
      <w:start w:val="1"/>
      <w:numFmt w:val="decimal"/>
      <w:lvlText w:val="(%1)"/>
      <w:lvlJc w:val="left"/>
      <w:pPr>
        <w:ind w:left="425" w:hanging="425"/>
      </w:pPr>
      <w:rPr>
        <w:rFonts w:hint="default"/>
      </w:rPr>
    </w:lvl>
  </w:abstractNum>
  <w:abstractNum w:abstractNumId="66">
    <w:nsid w:val="7AD21C96"/>
    <w:multiLevelType w:val="multilevel"/>
    <w:tmpl w:val="7AD21C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FFE530D"/>
    <w:multiLevelType w:val="singleLevel"/>
    <w:tmpl w:val="7FFE530D"/>
    <w:lvl w:ilvl="0" w:tentative="0">
      <w:start w:val="1"/>
      <w:numFmt w:val="decimal"/>
      <w:lvlText w:val="(%1)"/>
      <w:lvlJc w:val="left"/>
      <w:pPr>
        <w:ind w:left="425" w:hanging="425"/>
      </w:pPr>
      <w:rPr>
        <w:rFonts w:hint="default"/>
      </w:rPr>
    </w:lvl>
  </w:abstractNum>
  <w:num w:numId="1">
    <w:abstractNumId w:val="39"/>
  </w:num>
  <w:num w:numId="2">
    <w:abstractNumId w:val="50"/>
  </w:num>
  <w:num w:numId="3">
    <w:abstractNumId w:val="12"/>
  </w:num>
  <w:num w:numId="4">
    <w:abstractNumId w:val="32"/>
  </w:num>
  <w:num w:numId="5">
    <w:abstractNumId w:val="63"/>
  </w:num>
  <w:num w:numId="6">
    <w:abstractNumId w:val="62"/>
  </w:num>
  <w:num w:numId="7">
    <w:abstractNumId w:val="45"/>
  </w:num>
  <w:num w:numId="8">
    <w:abstractNumId w:val="26"/>
  </w:num>
  <w:num w:numId="9">
    <w:abstractNumId w:val="13"/>
  </w:num>
  <w:num w:numId="10">
    <w:abstractNumId w:val="29"/>
  </w:num>
  <w:num w:numId="11">
    <w:abstractNumId w:val="7"/>
  </w:num>
  <w:num w:numId="12">
    <w:abstractNumId w:val="36"/>
  </w:num>
  <w:num w:numId="13">
    <w:abstractNumId w:val="17"/>
  </w:num>
  <w:num w:numId="14">
    <w:abstractNumId w:val="67"/>
  </w:num>
  <w:num w:numId="15">
    <w:abstractNumId w:val="40"/>
  </w:num>
  <w:num w:numId="16">
    <w:abstractNumId w:val="61"/>
  </w:num>
  <w:num w:numId="17">
    <w:abstractNumId w:val="5"/>
  </w:num>
  <w:num w:numId="18">
    <w:abstractNumId w:val="11"/>
  </w:num>
  <w:num w:numId="19">
    <w:abstractNumId w:val="27"/>
  </w:num>
  <w:num w:numId="20">
    <w:abstractNumId w:val="49"/>
  </w:num>
  <w:num w:numId="21">
    <w:abstractNumId w:val="28"/>
  </w:num>
  <w:num w:numId="22">
    <w:abstractNumId w:val="24"/>
  </w:num>
  <w:num w:numId="23">
    <w:abstractNumId w:val="2"/>
  </w:num>
  <w:num w:numId="24">
    <w:abstractNumId w:val="48"/>
  </w:num>
  <w:num w:numId="25">
    <w:abstractNumId w:val="38"/>
  </w:num>
  <w:num w:numId="26">
    <w:abstractNumId w:val="65"/>
  </w:num>
  <w:num w:numId="27">
    <w:abstractNumId w:val="22"/>
  </w:num>
  <w:num w:numId="28">
    <w:abstractNumId w:val="66"/>
  </w:num>
  <w:num w:numId="29">
    <w:abstractNumId w:val="6"/>
  </w:num>
  <w:num w:numId="30">
    <w:abstractNumId w:val="8"/>
  </w:num>
  <w:num w:numId="31">
    <w:abstractNumId w:val="47"/>
  </w:num>
  <w:num w:numId="32">
    <w:abstractNumId w:val="37"/>
  </w:num>
  <w:num w:numId="33">
    <w:abstractNumId w:val="55"/>
  </w:num>
  <w:num w:numId="34">
    <w:abstractNumId w:val="46"/>
  </w:num>
  <w:num w:numId="35">
    <w:abstractNumId w:val="30"/>
  </w:num>
  <w:num w:numId="36">
    <w:abstractNumId w:val="56"/>
  </w:num>
  <w:num w:numId="37">
    <w:abstractNumId w:val="59"/>
  </w:num>
  <w:num w:numId="38">
    <w:abstractNumId w:val="58"/>
  </w:num>
  <w:num w:numId="39">
    <w:abstractNumId w:val="44"/>
  </w:num>
  <w:num w:numId="40">
    <w:abstractNumId w:val="3"/>
  </w:num>
  <w:num w:numId="41">
    <w:abstractNumId w:val="21"/>
  </w:num>
  <w:num w:numId="42">
    <w:abstractNumId w:val="41"/>
  </w:num>
  <w:num w:numId="43">
    <w:abstractNumId w:val="33"/>
  </w:num>
  <w:num w:numId="44">
    <w:abstractNumId w:val="60"/>
  </w:num>
  <w:num w:numId="45">
    <w:abstractNumId w:val="42"/>
  </w:num>
  <w:num w:numId="46">
    <w:abstractNumId w:val="57"/>
  </w:num>
  <w:num w:numId="47">
    <w:abstractNumId w:val="51"/>
  </w:num>
  <w:num w:numId="48">
    <w:abstractNumId w:val="25"/>
  </w:num>
  <w:num w:numId="49">
    <w:abstractNumId w:val="0"/>
  </w:num>
  <w:num w:numId="50">
    <w:abstractNumId w:val="52"/>
  </w:num>
  <w:num w:numId="51">
    <w:abstractNumId w:val="9"/>
  </w:num>
  <w:num w:numId="52">
    <w:abstractNumId w:val="20"/>
  </w:num>
  <w:num w:numId="53">
    <w:abstractNumId w:val="35"/>
  </w:num>
  <w:num w:numId="54">
    <w:abstractNumId w:val="18"/>
  </w:num>
  <w:num w:numId="55">
    <w:abstractNumId w:val="15"/>
  </w:num>
  <w:num w:numId="56">
    <w:abstractNumId w:val="10"/>
  </w:num>
  <w:num w:numId="57">
    <w:abstractNumId w:val="16"/>
  </w:num>
  <w:num w:numId="58">
    <w:abstractNumId w:val="54"/>
  </w:num>
  <w:num w:numId="59">
    <w:abstractNumId w:val="53"/>
  </w:num>
  <w:num w:numId="60">
    <w:abstractNumId w:val="14"/>
  </w:num>
  <w:num w:numId="61">
    <w:abstractNumId w:val="19"/>
  </w:num>
  <w:num w:numId="62">
    <w:abstractNumId w:val="43"/>
  </w:num>
  <w:num w:numId="63">
    <w:abstractNumId w:val="64"/>
  </w:num>
  <w:num w:numId="64">
    <w:abstractNumId w:val="4"/>
  </w:num>
  <w:num w:numId="65">
    <w:abstractNumId w:val="1"/>
  </w:num>
  <w:num w:numId="66">
    <w:abstractNumId w:val="34"/>
  </w:num>
  <w:num w:numId="67">
    <w:abstractNumId w:val="31"/>
  </w:num>
  <w:num w:numId="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E5A6D"/>
    <w:rsid w:val="4B8436B1"/>
    <w:rsid w:val="619E443D"/>
    <w:rsid w:val="666A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Indent"/>
    <w:basedOn w:val="1"/>
    <w:next w:val="4"/>
    <w:unhideWhenUsed/>
    <w:qFormat/>
    <w:uiPriority w:val="99"/>
    <w:pPr>
      <w:spacing w:after="120"/>
      <w:ind w:left="420" w:leftChars="200"/>
    </w:pPr>
  </w:style>
  <w:style w:type="paragraph" w:styleId="4">
    <w:name w:val="annotation subject"/>
    <w:basedOn w:val="2"/>
    <w:next w:val="1"/>
    <w:qFormat/>
    <w:uiPriority w:val="0"/>
    <w:rPr>
      <w:b/>
      <w:bCs/>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Body Text First Indent 2"/>
    <w:basedOn w:val="3"/>
    <w:unhideWhenUsed/>
    <w:qFormat/>
    <w:uiPriority w:val="99"/>
    <w:pPr>
      <w:ind w:firstLine="420" w:firstLineChars="20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List Paragraph"/>
    <w:basedOn w:val="1"/>
    <w:next w:val="1"/>
    <w:unhideWhenUsed/>
    <w:qFormat/>
    <w:uiPriority w:val="34"/>
    <w:pPr>
      <w:ind w:firstLine="420" w:firstLineChars="200"/>
    </w:pPr>
  </w:style>
  <w:style w:type="paragraph" w:customStyle="1" w:styleId="12">
    <w:name w:val="列出段落1"/>
    <w:basedOn w:val="1"/>
    <w:qFormat/>
    <w:uiPriority w:val="34"/>
    <w:pPr>
      <w:ind w:firstLine="420" w:firstLineChars="200"/>
    </w:pPr>
  </w:style>
  <w:style w:type="paragraph" w:customStyle="1" w:styleId="1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彩色列表 - 强调文字颜色 11"/>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11961</Words>
  <Characters>12377</Characters>
  <Lines>0</Lines>
  <Paragraphs>0</Paragraphs>
  <TotalTime>2</TotalTime>
  <ScaleCrop>false</ScaleCrop>
  <LinksUpToDate>false</LinksUpToDate>
  <CharactersWithSpaces>12391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2025-10-14T05:54:00Z</dcterms:created>
  <dc:creator>Administrator</dc:creator>
  <cp:lastModifiedBy>张茂芃</cp:lastModifiedBy>
  <dcterms:modified xsi:type="dcterms:W3CDTF">2025-10-28T08:24:49Z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eyJoZGlkIjoiZTJmMGJiNzlkZmMwMGY4MzFlOGQyMDc4ODUxYzlmMTIiLCJ1c2VySWQiOiI3OTM5NjY3MzgifQ==</vt:lpwstr>
  </property>
  <property fmtid="{D5CDD505-2E9C-101B-9397-08002B2CF9AE}" pid="4" name="ICV">
    <vt:lpwstr>4B949A7EA3984CF6A0F4913A461790B6_12</vt:lpwstr>
  </property>
</Properties>
</file>