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天津医科大学眼科医院</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w:t>
      </w:r>
      <w:r>
        <w:rPr>
          <w:rFonts w:ascii="方正小标宋简体" w:eastAsia="方正小标宋简体" w:hAnsi="方正小标宋简体" w:cs="方正小标宋简体" w:hint="eastAsia"/>
          <w:sz w:val="48"/>
          <w:szCs w:val="48"/>
          <w:highlight w:val="none"/>
          <w:lang w:val="en-US" w:eastAsia="zh-CN"/>
        </w:rPr>
        <w:t xml:space="preserve">单位</w:t>
      </w:r>
      <w:r>
        <w:rPr>
          <w:rFonts w:ascii="方正小标宋简体" w:eastAsia="方正小标宋简体" w:hAnsi="方正小标宋简体" w:cs="方正小标宋简体" w:hint="eastAsia"/>
          <w:sz w:val="48"/>
          <w:szCs w:val="48"/>
          <w:highlight w:val="none"/>
        </w:rPr>
        <w:t xml:space="preserve">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TOC \o "1-3" \h \z \u</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_Toc544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一、主要职责</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_Toc31533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二、机构设置</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_Toc31383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_Toc23540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二、《收入决算表（按功能分类列示）》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_Toc8357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三、《收入决算表（按单位列示）》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_Toc12692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五、《财政拨款收入支出决算总表》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_Toc13290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七、《一般公共预算财政拨款基本支出决算表》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_Toc16463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八、《政府性基金预算财政拨款收入支出决算表》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_Toc360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九、《国有资本经营预算财政拨款收入支出决算表》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_Toc22450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_Toc25280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十一、《项目支出决算表》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_Toc18372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_Toc13918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_Toc16656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_Toc20266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_Toc17730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四、财政拨款收支决算总体情况说明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五、一般公共预算财政拨款支出决算情况说明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_Toc13902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六、一般公共预算财政拨款基本支出决算情况说明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_Toc21908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七、政府性基金预算财政拨款收支决算情况说明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_Toc4044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八、国有资本经营预算财政拨款收支决算情况说明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_Toc5943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_Toc9262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十、机关运行经费支出情况说明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十一、政府采购支出情况说明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_Toc17600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十二、国有资产占有使用情况说明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_Toc20762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十三、预算绩效情况说明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_Toc12945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十四、教育、医疗卫生、社会保障和就业、住房保障、涉农补贴等民生支出情况说明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_Toc20809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_Toc26550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仿宋" w:eastAsia="仿宋" w:hAnsi="仿宋" w:cs="仿宋" w:hint="eastAsia"/>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544"/>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31533"/>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天津医科大学眼科医院</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（一）为人民身体健康提供医疗与护理保健 （二）医疗与护理 （三）医学教学 （四）医学研究 （五）卫生医疗人员培训 （六）卫生技术人员继续教育 （七）眼保健与健康教育</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31383"/>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天津医科大学眼科医院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年度单位决算编制范围的单位包括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单位本级（内设18个职能科室）。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4540"/>
      <w:r>
        <w:rPr>
          <w:rFonts w:ascii="方正小标宋简体" w:eastAsia="方正小标宋简体" w:hAnsi="方正小标宋简体" w:cs="方正小标宋简体" w:hint="eastAsia"/>
          <w:b w:val="0"/>
          <w:bCs w:val="0"/>
          <w:lang w:val="en-US" w:eastAsia="zh-CN"/>
        </w:rPr>
        <w:t xml:space="preserve">第二部分  2025年度单位决算表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35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天津医科大学眼科医院</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14442135.00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434826377.91</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250000.00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435885565.66</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15850659.45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465119172.36</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436135565.66</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1452226.00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22577670.19</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59361703.82</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67219866.33</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59361703.82</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525933102.18</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525933102.18</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8357"/>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天津医科大学眼科医院</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465119172.36</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14442135.00</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434826377.91</w:t>
            </w: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15850659.45</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250000.00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250000.00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人力资源和社会保障管理事务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250000.00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250000.00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2080116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引进人才费用</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250000.00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250000.00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464869172.36</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14192135.00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434826377.91</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15850659.45</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公立医院</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462699172.36</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12022135.00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434826377.91</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15850659.45</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综合医院</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312135.00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312135.00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其他专科医院</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462387037.36</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11710000.00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434826377.91</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15850659.45</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公共卫生</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1260000.00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1260000.00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2100409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重大公共卫生服务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1260000.00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1260000.00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910000.00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910000.00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710000.00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710000.00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其他行政事业单位医疗支出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2692"/>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天津医科大学眼科医院</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525933102.18</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465119172.36</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14442135.00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434826377.91</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15850659.45</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330226</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天津医科大学眼科医院</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525933102.18</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465119172.36</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14442135.00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434826377.91</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15850659.45</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天津医科大学眼科医院</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60813929.82</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60813929.82</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60813929.82</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330226</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天津医科大学眼科医院</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60813929.82</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60813929.82</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60813929.82</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008"/>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天津医科大学眼科医院</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436135565.66</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337491198.29</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98644367.37</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人力资源和社会保障管理事务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2080116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引进人才费用</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435885565.66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337491198.29</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98394367.37</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公立医院</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433715565.66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336581198.29</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97134367.37</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综合医院</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312133.00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312133.00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其他专科医院</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433403432.66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336581198.29</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96822234.37</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公共卫生</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1260000.00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1260000.00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2100409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重大公共卫生服务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1260000.00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1260000.00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910000.00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910000.00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710000.00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710000.00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其他行政事业单位医疗支出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200000.00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22229"/>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天津医科大学眼科医院</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14442135.00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250000.00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250000.00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14192133.00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14192133.00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14442135.00</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14442133.00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14442133.00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14442135.00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14442135.00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14442135.00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13290"/>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天津医科大学眼科医院</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基本支</w:t>
            </w:r>
            <w:r>
              <w:rPr>
                <w:rFonts w:ascii="宋体" w:eastAsia="宋体" w:hAnsi="宋体" w:cs="宋体" w:hint="eastAsia"/>
                <w:i w:val="0"/>
                <w:iCs w:val="0"/>
                <w:color w:val="262626"/>
                <w:kern w:val="0.0"/>
                <w:sz w:val="22"/>
                <w:szCs w:val="22"/>
                <w:u w:val="none"/>
                <w:lang w:val="en-US" w:eastAsia="zh-CN"/>
              </w:rPr>
              <w:t xml:space="preserve">出</w:t>
            </w:r>
            <w:r>
              <w:rPr>
                <w:rFonts w:ascii="宋体" w:eastAsia="宋体" w:hAnsi="宋体" w:cs="宋体" w:hint="eastAsia"/>
                <w:i w:val="0"/>
                <w:iCs w:val="0"/>
                <w:color w:val="262626"/>
                <w:kern w:val="0.0"/>
                <w:sz w:val="22"/>
                <w:szCs w:val="22"/>
                <w:u w:val="none"/>
                <w:lang w:val="en-US" w:eastAsia="zh-CN"/>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14442133.00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6300000.00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6256000.00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44000.00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8142133.00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人力资源和社会保障管理事务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2080116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引进人才费用</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14192133.00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6300000.00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6256000.00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44000.00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7892133.00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公立医院</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12022133.00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5390000.00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5346000.00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44000.00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6632133.00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综合医院</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312133.00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312133.00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其他专科医院</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11710000.00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5390000.00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5346000.00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44000.00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6320000.00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公共卫生</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1260000.00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1260000.00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重大公共卫生服务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1260000.00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1260000.00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910000.00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910000.00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910000.00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710000.00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710000.00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710000.00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其他行政事业单位医疗支出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16463"/>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天津医科大学眼科医院</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6024000.00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44000.00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3272000.00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1640000.00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710000.00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242000.00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160000.00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232000.00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192000.00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40000.00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44000.00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6256000.00</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44000.00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360"/>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天津医科大学眼科医院</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天津医科大学眼科医院2025年度政府性基金预算财政拨款收入支出决算表为空表。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22450"/>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天津医科大学眼科医院</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天津医科大学眼科医院2025年度国有资本经营预算财政拨款收入支出决算表为空表。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80"/>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天津医科大学眼科医院</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天津医科大学眼科医院2025年财政拨款“三公”经费支出决算表为空表。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3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天津医科大学眼科医院</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98644367.37</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8142133.00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90502234.37</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人力资源和社会保障管理事务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98394367.37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7892133.00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90502234.37</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公立医院</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97134367.37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6632133.00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90502234.37</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综合医院</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312133.00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312133.00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中医药事业创新发展（2025年市级）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住院医师规范化培训（2025年市级）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卫生健康系统对口支援帮扶（2025年市级）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212135.00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212135.00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卫生健康质控中心管理（2025年市级）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29998.00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29998.00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其他专科医院</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96822234.37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6320000.00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90502234.37</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住院医师规范化培训（2025年中央医疗服务与保障能力提升）</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270000.00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270000.00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天津医科大学眼科医院专科学科能力建设（2025年一般债券）</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住院医师规范化培训——2025年第二批中央医疗服务与保障能力提升（卫生健康人才培养）</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科教项目</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35502234.37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35502234.37</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非财政拨款项目（综合业务经费）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55000000.00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55000000.00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公共卫生</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1260000.00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1260000.00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1260000.00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1260000.00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精神卫生和慢性非传染性病防治（糖尿病视网膜病变筛查）（2025年中央重大公共卫生服务）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910000.00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910000.00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学生常见病监测（2025年中央重大公共卫生服务）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重点传染病及健康危害因素监测（学生常见病监测与干预）（2024年中央重大传染病防控经费-第二批）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13918"/>
      <w:r>
        <w:rPr>
          <w:rFonts w:ascii="方正小标宋简体" w:eastAsia="方正小标宋简体" w:hAnsi="方正小标宋简体" w:cs="方正小标宋简体" w:hint="eastAsia"/>
          <w:b w:val="0"/>
          <w:bCs w:val="0"/>
          <w:lang w:val="en-US" w:eastAsia="zh-CN"/>
        </w:rPr>
        <w:t xml:space="preserve">第三部分  2025年度单位决算情况说明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16656"/>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天津医科大学眼科医院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525,933,102.18</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增加19,186,234.60元，增长3.79%</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专项经费收支增加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一般公共预算财政拨款收入14,442,135.00元、事业收入434,826,377.91元、其他收入15,850,659.45元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社会保障和就业支出250,000.00元、卫生健康支出435,885,565.66元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20266"/>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天津医科大学眼科医院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465,119,172.36</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增加13,926,759.94元，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医疗收入的增长</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一般公共预算财政拨款收入14,442,135.00元，占3.11%；事业收入434,826,377.91元，占93.48%；其他收入15,850,659.45元，占3.41%</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17730"/>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天津医科大学眼科医院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436,135,565.66</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增加22,293,221.06元，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项目支出增加</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基本支出337,491,198.29元，占77.38%；项目支出98,644,367.37元，占22.62%</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166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天津医科大学眼科医院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14,442,135.00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增加6,020,059.00元，增长71.48%，</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天津医科大学眼科医院专科学科能力建设项目等专项经费增加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一般公共预算财政拨款14,442,135.00元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社会保障和就业支出250,000.00元、卫生健康支出14,192,133.00元、年末财政拨款结转和结余2.00元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13902"/>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天津医科大学眼科医院2025年度一般公共预算财政拨款支出合计14,442,133.00元，占本年支出合计的3.31%。与2024年度相比，一般公共预算财政拨款支出</w:t>
      </w:r>
      <w:r>
        <w:rPr>
          <w:rFonts w:eastAsia="仿宋_GB2312" w:hint="eastAsia"/>
          <w:sz w:val="30"/>
          <w:szCs w:val="30"/>
          <w:highlight w:val="none"/>
          <w:lang w:val="en-US" w:eastAsia="zh-CN"/>
        </w:rPr>
        <w:t xml:space="preserve">增加6,020,057.00元</w:t>
      </w:r>
      <w:r>
        <w:rPr>
          <w:rFonts w:eastAsia="仿宋_GB2312" w:hint="eastAsia"/>
          <w:sz w:val="30"/>
          <w:szCs w:val="30"/>
          <w:highlight w:val="none"/>
          <w:lang w:val="en-US" w:eastAsia="zh-CN"/>
        </w:rPr>
        <w:t xml:space="preserve">，增长71.48%</w:t>
      </w:r>
      <w:r>
        <w:rPr>
          <w:rFonts w:eastAsia="仿宋_GB2312" w:hint="eastAsia"/>
          <w:sz w:val="30"/>
          <w:szCs w:val="30"/>
          <w:highlight w:val="none"/>
          <w:lang w:val="en-US" w:eastAsia="zh-CN"/>
        </w:rPr>
        <w:t xml:space="preserve">，主要原因是天津医科大学眼科医院专科学科能力建设项目等专项经费支出增加。</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2025年度一般公共预算财政拨款支出14,442,133.00元，主要用于以下方面：</w:t>
      </w:r>
      <w:r>
        <w:rPr>
          <w:rFonts w:eastAsia="仿宋_GB2312" w:hint="eastAsia"/>
          <w:sz w:val="30"/>
          <w:szCs w:val="30"/>
          <w:highlight w:val="none"/>
        </w:rPr>
        <w:t xml:space="preserve">社会保障和就业支出（类）支出250,000.00元，占1.73%，卫生健康支出（类）支出14,192,133.00元，占98.27%</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2025年度一般公共预算财政拨款支出年初预算为8,965,000.00元，支出决算为14,442,133.00元</w:t>
      </w:r>
      <w:r>
        <w:rPr>
          <w:rFonts w:eastAsia="仿宋_GB2312" w:hint="eastAsia"/>
          <w:sz w:val="30"/>
          <w:szCs w:val="30"/>
          <w:highlight w:val="none"/>
          <w:lang w:val="en-US" w:eastAsia="zh-CN"/>
        </w:rPr>
        <w:t xml:space="preserve">，完成年初预算的161.09%</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1.社会保障和就业支出（类）人力资源和社会保障管理事务（款）引进人才费用（项）年初预算为0.00元，支出决算为250,000.00元，决算数大于年初预算数的主要原因是：追加引进人才经费支出。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2.卫生健康支出（类）公立医院（款）综合医院（项）年初预算为365,000.00元，支出决算为312,133.00元，完成年初预算的85.52%，决算数小于年初预算数的主要原因是：按实际支出执行。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卫生健康支出（类）公立医院（款）其他专科医院（项）年初预算为6,430,000.00元，支出决算为11,710,000.00元，完成年初预算的182.12%，决算数大于年初预算数的主要原因是：追加天津医科大学眼科医院专科学科能力建设项目经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4.卫生健康支出（类）公共卫生（款）重大公共卫生服务（项）年初预算为1,260,000.00元，支出决算为1,260,000.00元，完成年初预算的100.00%，决算数与年初预算数持平的主要原因是：该项目严格按照预算执行。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5.卫生健康支出（类）行政事业单位医疗（款）事业单位医疗（项）年初预算为710,000.00元，支出决算为710,000.00元，完成年初预算的100.00%，决算数与年初预算数持平的主要原因是：该项目严格按照预算执行。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6.卫生健康支出（类）行政事业单位医疗（款）其他行政事业单位医疗支出（项）年初预算为200,000.00元，支出决算为200,000.00元，完成年初预算的100.00%，决算数与年初预算数持平的主要原因是：该项目严格按照预算执行。</w:t>
      </w:r>
    </w:p>
    <w:p>
      <w:pPr>
        <w:pStyle w:val="标题2"/>
        <w:spacing w:before="0" w:after="0" w:line="600" w:lineRule="exact"/>
        <w:ind w:firstLine="600" w:firstLineChars="200"/>
        <w:rPr>
          <w:rFonts w:ascii="黑体" w:eastAsia="黑体" w:hAnsi="黑体"/>
          <w:b w:val="0"/>
          <w:sz w:val="30"/>
          <w:szCs w:val="30"/>
          <w:highlight w:val="none"/>
        </w:rPr>
      </w:pPr>
      <w:bookmarkStart w:id="21" w:name="_Toc21908"/>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天津医科大学眼科医院2025年度一般公共预算财政拨款基本支出合计6,300,000.00元，与2024年度相比</w:t>
      </w:r>
      <w:r>
        <w:rPr>
          <w:rFonts w:eastAsia="仿宋_GB2312" w:hint="eastAsia"/>
          <w:sz w:val="30"/>
          <w:szCs w:val="30"/>
          <w:highlight w:val="none"/>
          <w:lang w:val="en-US" w:eastAsia="zh-CN"/>
        </w:rPr>
        <w:t xml:space="preserve">增加646,000.00元，</w:t>
      </w:r>
      <w:r>
        <w:rPr>
          <w:rFonts w:eastAsia="仿宋_GB2312" w:hint="eastAsia"/>
          <w:sz w:val="30"/>
          <w:szCs w:val="30"/>
          <w:highlight w:val="none"/>
          <w:lang w:val="en-US" w:eastAsia="zh-CN"/>
        </w:rPr>
        <w:t xml:space="preserve">主要原因是人员经费增加。</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人员经费6,256,000.00元，主要包括</w:t>
      </w:r>
      <w:r>
        <w:rPr>
          <w:rFonts w:eastAsia="仿宋_GB2312" w:hint="eastAsia"/>
          <w:sz w:val="30"/>
          <w:szCs w:val="30"/>
          <w:highlight w:val="none"/>
          <w:lang w:val="en-US" w:eastAsia="zh-CN"/>
        </w:rPr>
        <w:t xml:space="preserve">机关事业单位基本养老保险缴费、职业年金缴费、职工基本医疗保险缴费、其他社会保障缴费、医疗费、退休费、医疗费补助</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公用经费44,000.00元，主要包括</w:t>
      </w:r>
      <w:r>
        <w:rPr>
          <w:rFonts w:eastAsia="仿宋_GB2312" w:hint="eastAsia"/>
          <w:sz w:val="30"/>
          <w:szCs w:val="30"/>
          <w:highlight w:val="none"/>
          <w:lang w:val="en-US" w:eastAsia="zh-CN"/>
        </w:rPr>
        <w:t xml:space="preserve">福利费</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4044"/>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天津医科大学眼科医院2025年度无政府性基金预算财政拨款收入、支出和结转结余。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5943"/>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天津医科大学眼科医院2025年度无国有资本经营预算财政拨款收入、支出和结转结余。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9262"/>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w:t>
      </w:r>
      <w:r>
        <w:rPr>
          <w:rFonts w:eastAsia="仿宋_GB2312" w:hint="eastAsia"/>
          <w:sz w:val="30"/>
          <w:szCs w:val="30"/>
          <w:highlight w:val="none"/>
          <w:lang w:val="en-US" w:eastAsia="zh-CN"/>
        </w:rPr>
        <w:t xml:space="preserve">决算数较上年持平的主要原因是本年度未用财政拨款经费列支“三公”经费。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决算数与预算数持平的主要原因是本年度未用财政拨款经费列支公务用车购置费及公务用车运行维护费；</w:t>
      </w:r>
      <w:r>
        <w:rPr>
          <w:rFonts w:eastAsia="仿宋_GB2312" w:hint="eastAsia"/>
          <w:sz w:val="30"/>
          <w:szCs w:val="30"/>
          <w:highlight w:val="none"/>
          <w:lang w:val="en-US" w:eastAsia="zh-CN"/>
        </w:rPr>
        <w:t xml:space="preserve">决算数较上年持平的主要原因是本年度未用财政拨款经费列支公务用车购置费及公务用车运行维护费。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850"/>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天津医科大学眼科医院2025年度无机关运行经费。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17600"/>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医科大学眼科医院2025年政府采购支出总额23,899,610.60元，其中：政府采购货物支出9,174,820.60元、政府采购工程支出0.00元、政府采购服务支出14,724,790.00元。授予中小企业合同金额18,194,820.60元，占政府采购支出总额的76.13%，其中：授予小微企业合同金额18,194,820.60元，占政府采购支出总额的76.13%；货物采购授予中小企业合同金额占货物支出金额的48.38%，工程采购授予中小企业合同金额占工程支出金额的0.00%，服务采购授予中小企业合同金额占服务支出金额的93.42%。</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20762"/>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截至2025年12月31日，天津医科大学眼科医院共有车辆4辆</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其他用车4辆</w:t>
      </w:r>
      <w:r>
        <w:rPr>
          <w:rFonts w:eastAsia="仿宋_GB2312" w:hint="eastAsia"/>
          <w:sz w:val="30"/>
          <w:szCs w:val="30"/>
          <w:highlight w:val="none"/>
          <w:lang w:val="en-US" w:eastAsia="zh-CN"/>
        </w:rPr>
        <w:t xml:space="preserve">，其他用车主要包括一般公务用车</w:t>
      </w:r>
      <w:r>
        <w:rPr>
          <w:rFonts w:eastAsia="仿宋_GB2312" w:hint="eastAsia"/>
          <w:sz w:val="30"/>
          <w:szCs w:val="30"/>
          <w:highlight w:val="none"/>
          <w:lang w:val="en-US" w:eastAsia="zh-CN"/>
        </w:rPr>
        <w:t xml:space="preserve">。单价100万元以上的设备41台（套）。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12945"/>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根据预算绩效管理要求，天津医科大学眼科医院已对7个2025年度市级项目开展绩效自评，涉及金额235,541,100元，自评结果已随部门决算一并公开。</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20809"/>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天津医科大学眼科医院不属于乡、镇、街级单位，不涉及公开2025年度教育、医疗卫生、社会保障和就业、住房保障、涉农补贴等民生支出情况。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26550"/>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969FFE14-BBEF-479F-BF36-8C4B673251AF}"/>
    <w:embedBold r:id="rId2" w:subsetted="1" w:fontKey="{49660760-DA6C-4B76-9FD7-92EAD03353A3}"/>
  </w:font>
  <w:font w:name="Cambria">
    <w:panose1 w:val="02040503050406030204"/>
    <w:charset w:val="00"/>
    <w:family w:val="roman"/>
    <w:pitch w:val="default"/>
    <w:sig w:usb0="E00006FF" w:usb1="420024FF" w:usb2="02000000" w:usb3="00000000" w:csb0="2000019F" w:csb1="00000000"/>
    <w:embedRegular r:id="rId3" w:fontKey="{0720F376-5658-482D-9483-196947F73C2E}"/>
  </w:font>
  <w:font w:name="Calibri">
    <w:panose1 w:val="020F0502020204030204"/>
    <w:charset w:val="00"/>
    <w:family w:val="swiss"/>
    <w:pitch w:val="default"/>
    <w:sig w:usb0="E4002EFF" w:usb1="C200247B" w:usb2="00000009" w:usb3="00000000" w:csb0="200001FF" w:csb1="00000000"/>
    <w:embedRegular r:id="rId4" w:fontKey="{CFDB525C-3010-4CBF-BFDC-FF38C46AEF56}"/>
  </w:font>
  <w:font w:name="黑体">
    <w:panose1 w:val="02010609060101010101"/>
    <w:charset w:val="FFFFFF86"/>
    <w:family w:val="auto"/>
    <w:pitch w:val="default"/>
    <w:sig w:usb0="800002BF" w:usb1="38CF7CFA" w:usb2="00000016" w:usb3="00000000" w:csb0="00040001" w:csb1="00000000"/>
    <w:embedRegular r:id="rId5" w:subsetted="1" w:fontKey="{6AF6C26A-354B-415A-B77E-E45686B17264}"/>
    <w:embedBold r:id="rId6" w:subsetted="1" w:fontKey="{63A36666-C295-448F-8094-4F424AA99AAF}"/>
  </w:font>
  <w:font w:name="方正小标宋简体">
    <w:altName w:val="黑体"/>
    <w:panose1 w:val="02000000000000000000"/>
    <w:charset w:val="FFFFFF86"/>
    <w:family w:val="auto"/>
    <w:pitch w:val="default"/>
    <w:sig w:usb0="00000001" w:usb1="08000000" w:usb2="00000000" w:usb3="00000000" w:csb0="00040000" w:csb1="00000000"/>
    <w:embedRegular r:id="rId7" w:fontKey="{AAC20AC4-F35D-4B6A-881F-9F810B164D96}"/>
    <w:embedBold r:id="rId8" w:fontKey="{C496792E-D97E-4811-A2D2-8384CEF8FDB8}"/>
  </w:font>
  <w:font w:name="仿宋">
    <w:panose1 w:val="02010609060101010101"/>
    <w:charset w:val="FFFFFF86"/>
    <w:family w:val="auto"/>
    <w:pitch w:val="default"/>
    <w:sig w:usb0="800002BF" w:usb1="38CF7CFA" w:usb2="00000016" w:usb3="00000000" w:csb0="00040001" w:csb1="00000000"/>
    <w:embedRegular r:id="rId9" w:subsetted="1" w:fontKey="{C7AC75BE-154D-4F16-9024-E658764AC0BB}"/>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C1F1821D-5431-4236-92BC-58BCDED34F6F}"/>
  </w:font>
  <w:font w:name="方正楷体_GB2312">
    <w:altName w:val="宋体"/>
    <w:panose1 w:val="02000000000000000000"/>
    <w:charset w:val="FFFFFF86"/>
    <w:family w:val="auto"/>
    <w:pitch w:val="default"/>
    <w:sig w:usb0="A00002BF" w:usb1="184F6CFA" w:usb2="00000012" w:usb3="00000000" w:csb0="00040001" w:csb1="00000000"/>
    <w:embedRegular r:id="rId11" w:fontKey="{B2BBA3CC-AF99-4CD2-9027-760CD52FC245}"/>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2" w:subsetted="1" w:fontKey="{6D0C9C48-2F20-46C6-A64E-888CD4C35E69}"/>
    <w:embedBold r:id="rId13" w:subsetted="1" w:fontKey="{4EC4E578-21D5-4008-A152-57F73309B462}"/>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7</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20</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28</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13" Type="http://schemas.openxmlformats.org/officeDocument/2006/relationships/font" Target="fonts/font12.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31</Pages>
  <Words>11720</Words>
  <Characters>62073</Characters>
  <Application>WPS Office_12.1.0.28043_F1E327BC-269C-435d-A152-05C5408002CA</Application>
  <DocSecurity>0</DocSecurity>
  <Lines>60</Lines>
  <Paragraphs>16</Paragraphs>
  <ScaleCrop>false</ScaleCrop>
  <Company>Microsoft</Company>
  <LinksUpToDate>false</LinksUpToDate>
  <CharactersWithSpaces>63178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2026-08-26T09:19:43Z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